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BBBF4C" w14:textId="77777777" w:rsidR="00117889" w:rsidRDefault="00BB7EEA">
      <w:pPr>
        <w:ind w:firstLine="480"/>
        <w:rPr>
          <w:rFonts w:hint="eastAsia"/>
        </w:rPr>
      </w:pPr>
      <w:r>
        <w:rPr>
          <w:rFonts w:hint="eastAsia"/>
        </w:rPr>
        <w:t xml:space="preserve"> </w:t>
      </w:r>
    </w:p>
    <w:p w14:paraId="13A69A28" w14:textId="77777777" w:rsidR="00120525" w:rsidRDefault="00120525">
      <w:pPr>
        <w:ind w:firstLine="480"/>
        <w:rPr>
          <w:rFonts w:hint="eastAsia"/>
        </w:rPr>
      </w:pPr>
    </w:p>
    <w:p w14:paraId="7974B84F" w14:textId="77777777" w:rsidR="00BC507A" w:rsidRDefault="00BC507A">
      <w:pPr>
        <w:ind w:firstLine="480"/>
      </w:pPr>
    </w:p>
    <w:p w14:paraId="0DCFAF5B" w14:textId="77777777" w:rsidR="00117889" w:rsidRDefault="00444EA1">
      <w:pPr>
        <w:ind w:firstLine="480"/>
        <w:rPr>
          <w:rFonts w:hint="eastAsia"/>
        </w:rPr>
      </w:pPr>
      <w:r>
        <w:rPr>
          <w:noProof/>
        </w:rPr>
        <w:pict w14:anchorId="698F46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0" type="#_x0000_t75" style="position:absolute;left:0;text-align:left;margin-left:105pt;margin-top:21pt;width:200pt;height:49.2pt;z-index:251657728">
            <v:imagedata r:id="rId7" o:title="同济大学字"/>
            <w10:wrap type="topAndBottom"/>
          </v:shape>
        </w:pict>
      </w:r>
    </w:p>
    <w:p w14:paraId="7386E4E3" w14:textId="77777777" w:rsidR="00117889" w:rsidRDefault="00117889">
      <w:pPr>
        <w:ind w:firstLine="480"/>
        <w:rPr>
          <w:rFonts w:hint="eastAsia"/>
        </w:rPr>
      </w:pPr>
    </w:p>
    <w:p w14:paraId="1907C676" w14:textId="77777777" w:rsidR="00117889" w:rsidRDefault="00117889" w:rsidP="003043C7">
      <w:pPr>
        <w:rPr>
          <w:rFonts w:ascii="黑体" w:eastAsia="黑体" w:hint="eastAsia"/>
          <w:sz w:val="72"/>
        </w:rPr>
        <w:spacing w:line="240" w:lineRule="auto"/>
      </w:pPr>
      <w:r>
        <w:rPr>
          <w:rFonts w:ascii="黑体" w:eastAsia="黑体"/>
          <w:sz w:val="48"/>
        </w:rPr>
        <w:t xml:space="preserve"> </w:t>
      </w:r>
      <w:r>
        <w:rPr>
          <w:rFonts w:ascii="黑体" w:eastAsia="黑体" w:hint="eastAsia"/>
          <w:sz w:val="72"/>
        </w:rPr>
        <w:t>毕业设计</w:t>
      </w:r>
      <w:r w:rsidRPr="000F31AE">
        <w:rPr>
          <w:rFonts w:ascii="宋体" w:hAnsi="宋体" w:hint="eastAsia"/>
          <w:sz w:val="72"/>
        </w:rPr>
        <w:t>(</w:t>
      </w:r>
      <w:r>
        <w:rPr>
          <w:rFonts w:ascii="黑体" w:eastAsia="黑体" w:hint="eastAsia"/>
          <w:sz w:val="72"/>
        </w:rPr>
        <w:t>论文</w:t>
      </w:r>
      <w:r w:rsidRPr="000F31AE">
        <w:rPr>
          <w:rFonts w:ascii="宋体" w:hAnsi="宋体" w:hint="eastAsia"/>
          <w:sz w:val="72"/>
        </w:rPr>
        <w:t>)</w:t>
      </w:r>
      <w:r w:rsidR="003C56B6">
        <w:rPr>
          <w:rFonts w:ascii="黑体" w:eastAsia="黑体" w:hint="eastAsia"/>
          <w:sz w:val="72"/>
        </w:rPr>
        <w:t>开题报告</w:t>
      </w:r>
    </w:p>
    <w:p w14:paraId="5A556938" w14:textId="77777777" w:rsidR="000F31AE" w:rsidRPr="00117889" w:rsidRDefault="000F31AE">
      <w:pPr>
        <w:ind w:firstLine="480"/>
        <w:rPr>
          <w:rFonts w:ascii="黑体" w:eastAsia="黑体" w:hint="eastAsia"/>
          <w:szCs w:val="21"/>
        </w:rPr>
      </w:pPr>
    </w:p>
    <w:p w14:paraId="19B266B5" w14:textId="77777777" w:rsidR="00117889" w:rsidRDefault="00117889">
      <w:pPr>
        <w:ind w:firstLine="640"/>
        <w:rPr>
          <w:rFonts w:ascii="黑体" w:eastAsia="黑体"/>
          <w:sz w:val="32"/>
          <w:szCs w:val="32"/>
        </w:rPr>
      </w:pPr>
    </w:p>
    <w:p w14:paraId="6C1AEDAA" w14:textId="77777777" w:rsidR="006323E4" w:rsidRDefault="006323E4">
      <w:pPr>
        <w:ind w:firstLine="640"/>
        <w:rPr>
          <w:rFonts w:hint="eastAsia"/>
          <w:sz w:val="32"/>
        </w:rPr>
      </w:pPr>
    </w:p>
    <w:p w14:paraId="601C90A3" w14:textId="77777777" w:rsidR="008C10CC" w:rsidRDefault="008C10CC">
      <w:pPr>
        <w:ind w:firstLine="640"/>
        <w:rPr>
          <w:rFonts w:hint="eastAsia"/>
          <w:sz w:val="32"/>
        </w:rPr>
      </w:pPr>
    </w:p>
    <w:tbl>
      <w:tblPr>
        <w:tblW w:w="7470" w:type="dxa"/>
        <w:jc w:val="center"/>
        <w:tblLayout w:type="fixed"/>
        <w:tblLook w:val="0000" w:firstRow="0" w:lastRow="0" w:firstColumn="0" w:lastColumn="0" w:noHBand="0" w:noVBand="0"/>
      </w:tblPr>
      <w:tblGrid>
        <w:gridCol w:w="1863"/>
        <w:gridCol w:w="1642"/>
        <w:gridCol w:w="1298"/>
        <w:gridCol w:w="2667"/>
      </w:tblGrid>
      <w:tr w:rsidR="00117889" w:rsidRPr="008C1668" w14:paraId="4C10941E" w14:textId="77777777" w:rsidTr="00832D41">
        <w:tblPrEx>
          <w:tblCellMar>
            <w:top w:w="0" w:type="dxa"/>
            <w:bottom w:w="0" w:type="dxa"/>
          </w:tblCellMar>
        </w:tblPrEx>
        <w:trPr>
          <w:trHeight w:val="848"/>
          <w:jc w:val="center"/>
        </w:trPr>
        <w:tc>
          <w:tcPr>
            <w:tcW w:w="1863" w:type="dxa"/>
            <w:vAlign w:val="bottom"/>
          </w:tcPr>
          <w:p w14:paraId="42E59D0C" w14:textId="77777777" w:rsidR="00117889" w:rsidRPr="00470EA2" w:rsidRDefault="00117889" w:rsidP="003043C7">
            <w:pPr>
              <w:snapToGrid w:val="0"/>
              <w:rPr>
                <w:rFonts w:ascii="宋体" w:hAnsi="宋体"/>
                <w:sz w:val="28"/>
                <w:szCs w:val="28"/>
              </w:rPr>
            </w:pPr>
            <w:permStart w:id="474163669" w:edGrp="everyone" w:colFirst="1" w:colLast="1"/>
            <w:r w:rsidRPr="00470EA2">
              <w:rPr>
                <w:rFonts w:ascii="宋体" w:hAnsi="宋体"/>
                <w:sz w:val="28"/>
                <w:szCs w:val="28"/>
              </w:rPr>
              <w:t>课题名称</w:t>
            </w:r>
          </w:p>
        </w:tc>
        <w:tc>
          <w:tcPr>
            <w:tcW w:w="5607" w:type="dxa"/>
            <w:gridSpan w:val="3"/>
            <w:tcBorders>
              <w:bottom w:val="single" w:sz="4" w:space="0" w:color="auto"/>
            </w:tcBorders>
            <w:vAlign w:val="bottom"/>
          </w:tcPr>
          <w:p w14:paraId="7DC6BB69" w14:textId="77777777" w:rsidR="000F31AE" w:rsidRPr="00470EA2" w:rsidRDefault="00B20101"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基于PX4的水下航行器模型控制方法研究</w:t>
            </w:r>
          </w:p>
        </w:tc>
      </w:tr>
      <w:tr w:rsidR="00117889" w:rsidRPr="008C1668" w14:paraId="2E96675F" w14:textId="77777777" w:rsidTr="00832D41">
        <w:tblPrEx>
          <w:tblCellMar>
            <w:top w:w="0" w:type="dxa"/>
            <w:bottom w:w="0" w:type="dxa"/>
          </w:tblCellMar>
        </w:tblPrEx>
        <w:trPr>
          <w:trHeight w:val="848"/>
          <w:jc w:val="center"/>
        </w:trPr>
        <w:tc>
          <w:tcPr>
            <w:tcW w:w="1863" w:type="dxa"/>
            <w:vAlign w:val="bottom"/>
          </w:tcPr>
          <w:p w14:paraId="330F2F2C" w14:textId="77777777" w:rsidR="00117889" w:rsidRPr="00470EA2" w:rsidRDefault="00117889" w:rsidP="003043C7">
            <w:pPr>
              <w:rPr>
                <w:rFonts w:ascii="宋体" w:hAnsi="宋体"/>
                <w:sz w:val="28"/>
                <w:szCs w:val="28"/>
              </w:rPr>
            </w:pPr>
            <w:permStart w:id="611349869" w:edGrp="everyone" w:colFirst="1" w:colLast="1"/>
            <w:permEnd w:id="474163669"/>
            <w:r w:rsidRPr="00470EA2">
              <w:rPr>
                <w:rFonts w:ascii="宋体" w:hAnsi="宋体"/>
                <w:spacing w:val="-18"/>
                <w:sz w:val="28"/>
                <w:szCs w:val="28"/>
              </w:rPr>
              <w:t>副</w:t>
            </w:r>
            <w:r w:rsidR="00A21022" w:rsidRPr="00470EA2">
              <w:rPr>
                <w:rFonts w:ascii="宋体" w:hAnsi="宋体"/>
                <w:spacing w:val="-18"/>
                <w:sz w:val="28"/>
                <w:szCs w:val="28"/>
              </w:rPr>
              <w:t xml:space="preserve"> </w:t>
            </w:r>
            <w:r w:rsidRPr="00470EA2">
              <w:rPr>
                <w:rFonts w:ascii="宋体" w:hAnsi="宋体"/>
                <w:spacing w:val="-18"/>
                <w:sz w:val="28"/>
                <w:szCs w:val="28"/>
              </w:rPr>
              <w:t>标</w:t>
            </w:r>
            <w:r w:rsidR="000F31AE" w:rsidRPr="00470EA2">
              <w:rPr>
                <w:rFonts w:ascii="宋体" w:hAnsi="宋体"/>
                <w:spacing w:val="-18"/>
                <w:sz w:val="28"/>
                <w:szCs w:val="28"/>
              </w:rPr>
              <w:t xml:space="preserve"> </w:t>
            </w:r>
            <w:r w:rsidRPr="00470EA2">
              <w:rPr>
                <w:rFonts w:ascii="宋体" w:hAnsi="宋体"/>
                <w:spacing w:val="-18"/>
                <w:sz w:val="28"/>
                <w:szCs w:val="28"/>
              </w:rPr>
              <w:t>题</w:t>
            </w:r>
          </w:p>
        </w:tc>
        <w:tc>
          <w:tcPr>
            <w:tcW w:w="5607" w:type="dxa"/>
            <w:gridSpan w:val="3"/>
            <w:tcBorders>
              <w:top w:val="single" w:sz="4" w:space="0" w:color="auto"/>
              <w:bottom w:val="single" w:sz="4" w:space="0" w:color="auto"/>
            </w:tcBorders>
            <w:vAlign w:val="bottom"/>
          </w:tcPr>
          <w:p w14:paraId="68917084" w14:textId="77777777" w:rsidR="000F31AE" w:rsidRPr="00470EA2" w:rsidRDefault="000F31AE" w:rsidP="003043C7">
            <w:pPr>
              <w:rPr>
                <w:rFonts w:ascii="宋体" w:hAnsi="宋体"/>
                <w:sz w:val="28"/>
                <w:szCs w:val="28"/>
              </w:rPr>
            </w:pPr>
          </w:p>
        </w:tc>
      </w:tr>
      <w:tr w:rsidR="00117889" w:rsidRPr="008C1668" w14:paraId="532EA6F6" w14:textId="77777777" w:rsidTr="00832D41">
        <w:tblPrEx>
          <w:tblCellMar>
            <w:top w:w="0" w:type="dxa"/>
            <w:bottom w:w="0" w:type="dxa"/>
          </w:tblCellMar>
        </w:tblPrEx>
        <w:trPr>
          <w:trHeight w:val="848"/>
          <w:jc w:val="center"/>
        </w:trPr>
        <w:tc>
          <w:tcPr>
            <w:tcW w:w="1863" w:type="dxa"/>
            <w:vAlign w:val="bottom"/>
          </w:tcPr>
          <w:p w14:paraId="5B08852C" w14:textId="77777777" w:rsidR="00117889" w:rsidRPr="00470EA2" w:rsidRDefault="00117889" w:rsidP="003043C7">
            <w:pPr>
              <w:rPr>
                <w:rFonts w:ascii="宋体" w:hAnsi="宋体"/>
                <w:sz w:val="28"/>
                <w:szCs w:val="28"/>
              </w:rPr>
            </w:pPr>
            <w:permStart w:id="1407324292" w:edGrp="everyone" w:colFirst="1" w:colLast="1"/>
            <w:permEnd w:id="611349869"/>
            <w:r w:rsidRPr="00470EA2">
              <w:rPr>
                <w:rFonts w:ascii="宋体" w:hAnsi="宋体"/>
                <w:sz w:val="28"/>
                <w:szCs w:val="28"/>
              </w:rPr>
              <w:t>学</w:t>
            </w:r>
            <w:r w:rsidR="008E2049" w:rsidRPr="00470EA2">
              <w:rPr>
                <w:rFonts w:ascii="宋体" w:hAnsi="宋体" w:hint="eastAsia"/>
                <w:sz w:val="28"/>
                <w:szCs w:val="28"/>
              </w:rPr>
              <w:t xml:space="preserve">    </w:t>
            </w:r>
            <w:r w:rsidRPr="00470EA2">
              <w:rPr>
                <w:rFonts w:ascii="宋体" w:hAnsi="宋体"/>
                <w:sz w:val="28"/>
                <w:szCs w:val="28"/>
              </w:rPr>
              <w:t>院</w:t>
            </w:r>
            <w:r w:rsidR="008E2049" w:rsidRPr="00470EA2">
              <w:rPr>
                <w:rFonts w:ascii="宋体" w:hAnsi="宋体" w:hint="eastAsia"/>
                <w:sz w:val="28"/>
                <w:szCs w:val="28"/>
              </w:rPr>
              <w:t xml:space="preserve"> </w:t>
            </w:r>
          </w:p>
        </w:tc>
        <w:tc>
          <w:tcPr>
            <w:tcW w:w="5607" w:type="dxa"/>
            <w:gridSpan w:val="3"/>
            <w:tcBorders>
              <w:top w:val="single" w:sz="4" w:space="0" w:color="auto"/>
              <w:bottom w:val="single" w:sz="4" w:space="0" w:color="auto"/>
            </w:tcBorders>
            <w:vAlign w:val="bottom"/>
          </w:tcPr>
          <w:p w14:paraId="70E9C4C5"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机械工程与机器人学院</w:t>
            </w:r>
          </w:p>
        </w:tc>
      </w:tr>
      <w:tr w:rsidR="00117889" w:rsidRPr="008C1668" w14:paraId="14C5218E" w14:textId="77777777" w:rsidTr="00832D41">
        <w:tblPrEx>
          <w:tblCellMar>
            <w:top w:w="0" w:type="dxa"/>
            <w:bottom w:w="0" w:type="dxa"/>
          </w:tblCellMar>
        </w:tblPrEx>
        <w:trPr>
          <w:trHeight w:val="848"/>
          <w:jc w:val="center"/>
        </w:trPr>
        <w:tc>
          <w:tcPr>
            <w:tcW w:w="1863" w:type="dxa"/>
            <w:vAlign w:val="bottom"/>
          </w:tcPr>
          <w:p w14:paraId="3FC80CB3" w14:textId="77777777" w:rsidR="00117889" w:rsidRPr="00470EA2" w:rsidRDefault="00117889" w:rsidP="003043C7">
            <w:pPr>
              <w:rPr>
                <w:rFonts w:ascii="宋体" w:hAnsi="宋体"/>
                <w:sz w:val="28"/>
                <w:szCs w:val="28"/>
              </w:rPr>
            </w:pPr>
            <w:permStart w:id="1359107499" w:edGrp="everyone" w:colFirst="1" w:colLast="1"/>
            <w:permEnd w:id="1407324292"/>
            <w:r w:rsidRPr="00470EA2">
              <w:rPr>
                <w:rFonts w:ascii="宋体" w:hAnsi="宋体"/>
                <w:sz w:val="28"/>
                <w:szCs w:val="28"/>
              </w:rPr>
              <w:t>专    业</w:t>
            </w:r>
          </w:p>
        </w:tc>
        <w:tc>
          <w:tcPr>
            <w:tcW w:w="5607" w:type="dxa"/>
            <w:gridSpan w:val="3"/>
            <w:tcBorders>
              <w:top w:val="single" w:sz="4" w:space="0" w:color="auto"/>
              <w:bottom w:val="single" w:sz="4" w:space="0" w:color="auto"/>
            </w:tcBorders>
            <w:vAlign w:val="bottom"/>
          </w:tcPr>
          <w:p w14:paraId="789C06FD" w14:textId="77777777" w:rsidR="000F31AE" w:rsidRPr="00470EA2" w:rsidRDefault="000F31AE"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机械设计制造及其自动化</w:t>
            </w:r>
          </w:p>
        </w:tc>
      </w:tr>
      <w:tr w:rsidR="00A21022" w:rsidRPr="008C1668" w14:paraId="3F37394E" w14:textId="77777777" w:rsidTr="00832D41">
        <w:tblPrEx>
          <w:tblCellMar>
            <w:top w:w="0" w:type="dxa"/>
            <w:bottom w:w="0" w:type="dxa"/>
          </w:tblCellMar>
        </w:tblPrEx>
        <w:trPr>
          <w:trHeight w:val="848"/>
          <w:jc w:val="center"/>
        </w:trPr>
        <w:tc>
          <w:tcPr>
            <w:tcW w:w="1863" w:type="dxa"/>
            <w:vAlign w:val="bottom"/>
          </w:tcPr>
          <w:p w14:paraId="69A511FC" w14:textId="77777777" w:rsidR="00A21022" w:rsidRPr="00470EA2" w:rsidRDefault="00A21022" w:rsidP="003043C7">
            <w:pPr>
              <w:rPr>
                <w:rFonts w:ascii="宋体" w:hAnsi="宋体"/>
                <w:sz w:val="28"/>
                <w:szCs w:val="28"/>
              </w:rPr>
            </w:pPr>
            <w:permStart w:id="2030010102" w:edGrp="everyone" w:colFirst="3" w:colLast="3"/>
            <w:permStart w:id="121383691" w:edGrp="everyone" w:colFirst="1" w:colLast="1"/>
            <w:permEnd w:id="1359107499"/>
            <w:r w:rsidRPr="00470EA2">
              <w:rPr>
                <w:rFonts w:ascii="宋体" w:hAnsi="宋体"/>
                <w:sz w:val="28"/>
                <w:szCs w:val="28"/>
              </w:rPr>
              <w:t>学生姓名</w:t>
            </w:r>
          </w:p>
        </w:tc>
        <w:tc>
          <w:tcPr>
            <w:tcW w:w="1642" w:type="dxa"/>
            <w:tcBorders>
              <w:bottom w:val="single" w:sz="4" w:space="0" w:color="auto"/>
            </w:tcBorders>
            <w:vAlign w:val="bottom"/>
          </w:tcPr>
          <w:p w14:paraId="7CAFE2BC"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张卫恒</w:t>
            </w:r>
          </w:p>
        </w:tc>
        <w:tc>
          <w:tcPr>
            <w:tcW w:w="1298" w:type="dxa"/>
            <w:vAlign w:val="bottom"/>
          </w:tcPr>
          <w:p w14:paraId="029A3F9C" w14:textId="77777777" w:rsidR="00A21022" w:rsidRPr="00470EA2" w:rsidRDefault="00A21022" w:rsidP="003043C7">
            <w:pPr>
              <w:rPr>
                <w:rFonts w:ascii="宋体" w:hAnsi="宋体"/>
                <w:sz w:val="28"/>
                <w:szCs w:val="28"/>
              </w:rPr>
            </w:pPr>
            <w:r w:rsidRPr="00470EA2">
              <w:rPr>
                <w:rFonts w:ascii="宋体" w:hAnsi="宋体"/>
                <w:sz w:val="28"/>
                <w:szCs w:val="28"/>
              </w:rPr>
              <w:t>学 号</w:t>
            </w:r>
          </w:p>
        </w:tc>
        <w:tc>
          <w:tcPr>
            <w:tcW w:w="2667" w:type="dxa"/>
            <w:tcBorders>
              <w:bottom w:val="single" w:sz="4" w:space="0" w:color="auto"/>
            </w:tcBorders>
            <w:vAlign w:val="bottom"/>
          </w:tcPr>
          <w:p w14:paraId="7286FA24" w14:textId="77777777" w:rsidR="00A21022" w:rsidRPr="00470EA2" w:rsidRDefault="00A21022" w:rsidP="003043C7">
            <w:pPr>
              <w:spacing w:line="240" w:lineRule="auto" w:before="0" w:after="0"/>
              <w:jc w:val="center"/>
              <w:rPr>
                <w:rFonts w:ascii="宋体" w:hAnsi="宋体"/>
                <w:sz w:val="28"/>
                <w:szCs w:val="28"/>
              </w:rPr>
            </w:pPr>
            <w:r>
              <w:rPr>
                <w:rFonts w:ascii="Times New Roman" w:hAnsi="Times New Roman" w:cs="Times New Roman" w:eastAsia="宋体"/>
                <w:b w:val="0"/>
                <w:sz w:val="28"/>
              </w:rPr>
              <w:t>2352407</w:t>
            </w:r>
          </w:p>
        </w:tc>
      </w:tr>
      <w:permEnd w:id="2030010102"/>
      <w:permEnd w:id="121383691"/>
      <w:tr w:rsidR="006A462B" w:rsidRPr="008C1668" w14:paraId="055FFB75" w14:textId="77777777" w:rsidTr="00832D41">
        <w:tblPrEx>
          <w:tblCellMar>
            <w:top w:w="0" w:type="dxa"/>
            <w:bottom w:w="0" w:type="dxa"/>
          </w:tblCellMar>
        </w:tblPrEx>
        <w:trPr>
          <w:trHeight w:val="848"/>
          <w:jc w:val="center"/>
        </w:trPr>
        <w:tc>
          <w:tcPr>
            <w:tcW w:w="1863" w:type="dxa"/>
            <w:vAlign w:val="bottom"/>
          </w:tcPr>
          <w:p w14:paraId="449E4A6A" w14:textId="77777777" w:rsidR="006A462B" w:rsidRPr="008C1668" w:rsidRDefault="006A462B" w:rsidP="000F31AE">
            <w:pPr>
              <w:ind w:firstLine="560"/>
              <w:rPr>
                <w:sz w:val="28"/>
                <w:szCs w:val="28"/>
              </w:rPr>
            </w:pPr>
          </w:p>
          <w:p w14:paraId="07999FA0" w14:textId="77777777" w:rsidR="006A462B" w:rsidRPr="008C1668" w:rsidRDefault="006A462B" w:rsidP="000F31AE">
            <w:pPr>
              <w:ind w:firstLine="560"/>
              <w:rPr>
                <w:sz w:val="28"/>
                <w:szCs w:val="28"/>
              </w:rPr>
            </w:pPr>
          </w:p>
          <w:p w14:paraId="2B8D6BCF" w14:textId="77777777" w:rsidR="006A462B" w:rsidRPr="008C1668" w:rsidRDefault="006A462B" w:rsidP="000F31AE">
            <w:pPr>
              <w:ind w:firstLine="560"/>
              <w:rPr>
                <w:sz w:val="28"/>
                <w:szCs w:val="28"/>
              </w:rPr>
            </w:pPr>
          </w:p>
          <w:p w14:paraId="6B6D9DE4" w14:textId="77777777" w:rsidR="006A462B" w:rsidRPr="008C1668" w:rsidRDefault="006A462B" w:rsidP="000F31AE">
            <w:pPr>
              <w:ind w:firstLine="560"/>
              <w:rPr>
                <w:sz w:val="28"/>
                <w:szCs w:val="28"/>
              </w:rPr>
            </w:pPr>
          </w:p>
        </w:tc>
        <w:tc>
          <w:tcPr>
            <w:tcW w:w="1642" w:type="dxa"/>
            <w:tcBorders>
              <w:top w:val="single" w:sz="4" w:space="0" w:color="auto"/>
            </w:tcBorders>
            <w:vAlign w:val="bottom"/>
          </w:tcPr>
          <w:p w14:paraId="674F2EC9" w14:textId="77777777" w:rsidR="006A462B" w:rsidRPr="008C1668" w:rsidRDefault="006A462B">
            <w:pPr>
              <w:ind w:firstLine="560"/>
              <w:jc w:val="center"/>
              <w:rPr>
                <w:sz w:val="28"/>
                <w:szCs w:val="28"/>
              </w:rPr>
            </w:pPr>
          </w:p>
        </w:tc>
        <w:tc>
          <w:tcPr>
            <w:tcW w:w="1298" w:type="dxa"/>
            <w:vAlign w:val="bottom"/>
          </w:tcPr>
          <w:p w14:paraId="63C2B1B4" w14:textId="77777777" w:rsidR="006A462B" w:rsidRPr="008C1668" w:rsidRDefault="006A462B">
            <w:pPr>
              <w:ind w:firstLine="560"/>
              <w:jc w:val="center"/>
              <w:rPr>
                <w:sz w:val="28"/>
                <w:szCs w:val="28"/>
              </w:rPr>
            </w:pPr>
          </w:p>
        </w:tc>
        <w:tc>
          <w:tcPr>
            <w:tcW w:w="2667" w:type="dxa"/>
            <w:vAlign w:val="bottom"/>
          </w:tcPr>
          <w:p w14:paraId="3F283AAE" w14:textId="77777777" w:rsidR="006A462B" w:rsidRPr="008C1668" w:rsidRDefault="006A462B">
            <w:pPr>
              <w:ind w:firstLine="560"/>
              <w:jc w:val="center"/>
              <w:rPr>
                <w:sz w:val="28"/>
                <w:szCs w:val="28"/>
              </w:rPr>
            </w:pPr>
          </w:p>
        </w:tc>
      </w:tr>
    </w:tbl>
    <w:p w14:paraId="4E3E6D9A" w14:textId="77777777" w:rsidR="00444EA1" w:rsidRDefault="00444EA1">
      <w:pPr>
        <w:ind w:firstLine="600"/>
        <w:rPr>
          <w:rFonts w:ascii="黑体" w:eastAsia="黑体" w:hint="eastAsia"/>
          <w:sz w:val="30"/>
        </w:rPr>
      </w:pPr>
    </w:p>
    <w:p w14:paraId="4BFF8C54" w14:textId="77777777" w:rsidR="006A462B" w:rsidRDefault="006A462B">
      <w:pPr>
        <w:ind w:firstLine="600"/>
        <w:rPr>
          <w:rFonts w:ascii="黑体" w:eastAsia="黑体" w:hint="eastAsia"/>
          <w:sz w:val="30"/>
        </w:rPr>
      </w:pPr>
    </w:p>
    <w:p w14:paraId="25B75520" w14:textId="77777777" w:rsidR="003C56B6" w:rsidRDefault="003C56B6">
      <w:pPr>
        <w:ind w:firstLine="600"/>
        <w:rPr>
          <w:rFonts w:ascii="黑体" w:eastAsia="黑体" w:hint="eastAsia"/>
          <w:sz w:val="30"/>
        </w:rPr>
      </w:pPr>
    </w:p>
    <w:p w14:paraId="0549619A" w14:textId="77777777" w:rsidR="003C56B6" w:rsidRDefault="003C56B6">
      <w:pPr>
        <w:ind w:firstLine="600"/>
        <w:rPr>
          <w:rFonts w:ascii="黑体" w:eastAsia="黑体" w:hint="eastAsia"/>
          <w:sz w:val="30"/>
        </w:rPr>
      </w:pPr>
    </w:p>
    <w:p w14:paraId="6B321487" w14:textId="77777777" w:rsidR="003C56B6" w:rsidRDefault="003C56B6">
      <w:pPr>
        <w:ind w:firstLine="600"/>
        <w:rPr>
          <w:rFonts w:ascii="黑体" w:eastAsia="黑体" w:hint="eastAsia"/>
          <w:sz w:val="30"/>
        </w:rPr>
      </w:pPr>
    </w:p>
    <w:tbl>
      <w:tblPr>
        <w:tblW w:w="0" w:type="auto"/>
        <w:jc w:val="center"/>
        <w:tblLayout w:type="fixed"/>
        <w:tblLook w:val="0000" w:firstRow="0" w:lastRow="0" w:firstColumn="0" w:lastColumn="0" w:noHBand="0" w:noVBand="0"/>
      </w:tblPr>
      <w:tblGrid>
        <w:gridCol w:w="1126"/>
        <w:gridCol w:w="850"/>
        <w:gridCol w:w="727"/>
        <w:gridCol w:w="446"/>
        <w:gridCol w:w="629"/>
        <w:gridCol w:w="466"/>
      </w:tblGrid>
      <w:tr w:rsidR="003C56B6" w:rsidRPr="00470EA2" w14:paraId="612BED1A" w14:textId="77777777" w:rsidTr="00217F24">
        <w:tblPrEx>
          <w:tblCellMar>
            <w:top w:w="0" w:type="dxa"/>
            <w:bottom w:w="0" w:type="dxa"/>
          </w:tblCellMar>
        </w:tblPrEx>
        <w:trPr>
          <w:trHeight w:val="439"/>
          <w:jc w:val="center"/>
        </w:trPr>
        <w:tc>
          <w:tcPr>
            <w:tcW w:w="1126" w:type="dxa"/>
            <w:tcBorders>
              <w:bottom w:val="single" w:sz="4" w:space="0" w:color="auto"/>
            </w:tcBorders>
            <w:vAlign w:val="bottom"/>
          </w:tcPr>
          <w:p w14:paraId="7B4A7919" w14:textId="77777777" w:rsidR="003C56B6" w:rsidRPr="00470EA2" w:rsidRDefault="003C56B6" w:rsidP="00536562">
            <w:pPr>
              <w:spacing w:line="240" w:lineRule="auto" w:before="0" w:after="0"/>
              <w:jc w:val="center"/>
              <w:rPr>
                <w:rFonts w:ascii="宋体" w:hAnsi="宋体" w:hint="eastAsia"/>
                <w:sz w:val="28"/>
                <w:szCs w:val="28"/>
              </w:rPr>
            </w:pPr>
            <w:permStart w:id="1928413070" w:edGrp="everyone" w:colFirst="4" w:colLast="4"/>
            <w:permStart w:id="1573938271" w:edGrp="everyone" w:colFirst="2" w:colLast="2"/>
            <w:permStart w:id="1767062397" w:edGrp="everyone" w:colFirst="0" w:colLast="0"/>
            <w:r>
              <w:rPr>
                <w:rFonts w:ascii="Times New Roman" w:hAnsi="Times New Roman" w:cs="Times New Roman" w:eastAsia="宋体"/>
                <w:b w:val="0"/>
                <w:sz w:val="28"/>
              </w:rPr>
              <w:t>2026</w:t>
            </w:r>
          </w:p>
        </w:tc>
        <w:tc>
          <w:tcPr>
            <w:tcW w:w="850" w:type="dxa"/>
            <w:vAlign w:val="bottom"/>
          </w:tcPr>
          <w:p w14:paraId="7314B03C"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年</w:t>
            </w:r>
          </w:p>
        </w:tc>
        <w:tc>
          <w:tcPr>
            <w:tcW w:w="727" w:type="dxa"/>
            <w:tcBorders>
              <w:bottom w:val="single" w:sz="4" w:space="0" w:color="auto"/>
            </w:tcBorders>
            <w:vAlign w:val="bottom"/>
          </w:tcPr>
          <w:p w14:paraId="7BB9ED3F"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10</w:t>
            </w:r>
          </w:p>
        </w:tc>
        <w:tc>
          <w:tcPr>
            <w:tcW w:w="446" w:type="dxa"/>
            <w:vAlign w:val="bottom"/>
          </w:tcPr>
          <w:p w14:paraId="26CF890B"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月</w:t>
            </w:r>
          </w:p>
        </w:tc>
        <w:tc>
          <w:tcPr>
            <w:tcW w:w="629" w:type="dxa"/>
            <w:tcBorders>
              <w:bottom w:val="single" w:sz="4" w:space="0" w:color="auto"/>
            </w:tcBorders>
            <w:vAlign w:val="bottom"/>
          </w:tcPr>
          <w:p w14:paraId="02C927EB" w14:textId="77777777" w:rsidR="003C56B6" w:rsidRPr="00470EA2" w:rsidRDefault="003C56B6" w:rsidP="00536562">
            <w:pPr>
              <w:spacing w:line="240" w:lineRule="auto" w:before="0" w:after="0"/>
              <w:jc w:val="center"/>
              <w:rPr>
                <w:rFonts w:ascii="宋体" w:hAnsi="宋体" w:hint="eastAsia"/>
                <w:sz w:val="28"/>
                <w:szCs w:val="28"/>
              </w:rPr>
            </w:pPr>
            <w:r>
              <w:rPr>
                <w:rFonts w:ascii="Times New Roman" w:hAnsi="Times New Roman" w:cs="Times New Roman" w:eastAsia="宋体"/>
                <w:b w:val="0"/>
                <w:sz w:val="28"/>
              </w:rPr>
              <w:t>9</w:t>
            </w:r>
          </w:p>
        </w:tc>
        <w:tc>
          <w:tcPr>
            <w:tcW w:w="466" w:type="dxa"/>
            <w:vAlign w:val="bottom"/>
          </w:tcPr>
          <w:p w14:paraId="7A0D0955" w14:textId="77777777" w:rsidR="003C56B6" w:rsidRPr="00470EA2" w:rsidRDefault="003C56B6" w:rsidP="00536562">
            <w:pPr>
              <w:jc w:val="center"/>
              <w:rPr>
                <w:rFonts w:ascii="宋体" w:hAnsi="宋体" w:hint="eastAsia"/>
                <w:sz w:val="28"/>
                <w:szCs w:val="28"/>
              </w:rPr>
            </w:pPr>
            <w:r w:rsidRPr="00470EA2">
              <w:rPr>
                <w:rFonts w:ascii="宋体" w:hAnsi="宋体" w:hint="eastAsia"/>
                <w:sz w:val="28"/>
                <w:szCs w:val="28"/>
              </w:rPr>
              <w:t>日</w:t>
            </w:r>
          </w:p>
        </w:tc>
      </w:tr>
      <w:permEnd w:id="1928413070"/>
      <w:permEnd w:id="1573938271"/>
      <w:permEnd w:id="1767062397"/>
    </w:tbl>
    <w:p w14:paraId="6D33EC83" w14:textId="77777777" w:rsidR="008C10CC" w:rsidRPr="00470EA2" w:rsidRDefault="008C10CC">
      <w:pPr>
        <w:ind w:firstLine="560"/>
        <w:rPr>
          <w:rFonts w:ascii="宋体" w:hAnsi="宋体" w:hint="eastAsia"/>
          <w:sz w:val="28"/>
          <w:szCs w:val="28"/>
        </w:rPr>
      </w:pPr>
    </w:p>
    <w:p w14:paraId="7C055745" w14:textId="77777777" w:rsidR="00117889" w:rsidRDefault="003750D2" w:rsidP="00217F24">
      <w:pPr>
        <w:spacing w:beforeLines="50" w:before="120" w:afterLines="50" w:after="120" w:line="360" w:lineRule="auto"/>
        <w:ind w:firstLine="560" w:firstLineChars="0"/>
        <w:rPr>
          <w:rFonts w:ascii="楷体" w:eastAsia="楷体" w:hAnsi="宋体" w:hint="eastAsia"/>
        </w:rPr>
      </w:pPr>
      <w:r w:rsidRPr="00470EA2">
        <w:rPr>
          <w:rFonts w:ascii="Times New Roman" w:hAnsi="Times New Roman" w:cs="Times New Roman" w:eastAsia="黑体"/>
          <w:b w:val="0"/>
          <w:sz w:val="28"/>
          <w:szCs w:val="28"/>
        </w:rPr>
        <w:br w:type="page"/>
      </w:r>
      <w:r w:rsidR="00117889">
        <w:rPr>
          <w:rFonts w:ascii="Times New Roman" w:eastAsia="黑体" w:hint="eastAsia" w:hAnsi="Times New Roman" w:cs="Times New Roman"/>
          <w:b w:val="0"/>
          <w:sz w:val="28"/>
        </w:rPr>
        <w:lastRenderedPageBreak/>
        <w:t>一、</w:t>
      </w:r>
      <w:permStart w:id="220558113" w:edGrp="everyone"/>
      <w:r w:rsidR="00F71C2A">
        <w:rPr>
          <w:rFonts w:ascii="Times New Roman" w:eastAsia="黑体" w:hint="eastAsia" w:hAnsi="Times New Roman" w:cs="Times New Roman"/>
          <w:b w:val="0"/>
          <w:sz w:val="28"/>
        </w:rPr>
        <w:t>毕业论文</w:t>
      </w:r>
      <w:permEnd w:id="220558113"/>
      <w:r w:rsidR="00857EAE">
        <w:rPr>
          <w:rFonts w:ascii="Times New Roman" w:eastAsia="黑体" w:hint="eastAsia" w:hAnsi="Times New Roman" w:cs="Times New Roman"/>
          <w:b w:val="0"/>
          <w:sz w:val="28"/>
        </w:rPr>
        <w:t>课题背景</w:t>
      </w:r>
    </w:p>
    <w:p w14:paraId="26F346DF" w14:textId="77777777" w:rsidR="00241C7A" w:rsidRDefault="006323E4" w:rsidP="005F5E45">
      <w:pPr>
        <w:pStyle w:val="a6"/>
        <w:spacing w:before="120" w:after="120" w:line="360" w:lineRule="auto" w:beforeLines="50" w:afterLines="50"/>
        <w:ind w:firstLine="0" w:firstLineChars="0"/>
        <w:rPr>
          <w:sz w:val="24"/>
        </w:rPr>
      </w:pPr>
      <w:permStart w:id="1319923814" w:edGrp="everyone"/>
      <w:r>
        <w:rPr>
          <w:rFonts w:hint="eastAsia" w:ascii="Times New Roman" w:hAnsi="Times New Roman" w:cs="Times New Roman" w:eastAsia="黑体"/>
          <w:b w:val="0"/>
          <w:sz w:val="24"/>
        </w:rPr>
        <w:t>1</w:t>
      </w:r>
      <w:r w:rsidR="00C36A7B" w:rsidRPr="00914070">
        <w:rPr>
          <w:rFonts w:ascii="Times New Roman" w:hAnsi="Times New Roman" w:cs="Times New Roman" w:eastAsia="黑体"/>
          <w:b w:val="0"/>
          <w:sz w:val="24"/>
        </w:rPr>
        <w:t xml:space="preserve">． </w:t>
      </w:r>
      <w:r w:rsidR="009672BC" w:rsidRPr="00334DA9">
        <w:rPr>
          <w:rFonts w:ascii="Times New Roman" w:hAnsi="Times New Roman" w:cs="Times New Roman" w:eastAsia="黑体"/>
          <w:b w:val="0"/>
          <w:sz w:val="24"/>
        </w:rPr>
        <w:t>课题来源及研究的目的和意义</w:t>
      </w:r>
    </w:p>
    <w:p>
      <w:pPr>
        <w:pStyle w:val="a7"/>
        <w:spacing w:line="360" w:lineRule="auto" w:beforeLines="0" w:before="0" w:afterLines="0" w:after="0"/>
        <w:ind w:firstLine="480" w:firstLineChars="200"/>
      </w:pPr>
      <w:r>
        <w:rPr>
          <w:rFonts w:ascii="Times New Roman" w:hAnsi="Times New Roman" w:cs="Times New Roman" w:eastAsia="宋体"/>
          <w:b w:val="0"/>
          <w:sz w:val="24"/>
        </w:rPr>
        <w:t>随着海洋强国战略与现代基础设施体系建设的深入推进，以跨海桥隧、海上风电桩基、深水油气与通信管网、大型水利枢纽涵洞为代表的高价值水下工程设施规模与日俱增。由于长期遭受水流冲刷、介质侵蚀与交变载荷作用，针对此类设施开展常态化的水下结构病害探查与安全维保具有明确的工程现实需求。围绕恶劣危险环境下的无人化作业替代，国家在特种机器人领域作出了重要战略部署，《“十四五”机器人产业发展规划》</w:t>
      </w:r>
      <w:r>
        <w:rPr>
          <w:rFonts w:ascii="Times New Roman" w:hAnsi="Times New Roman" w:cs="Times New Roman" w:eastAsia="宋体"/>
          <w:b w:val="0"/>
          <w:sz w:val="24"/>
          <w:vertAlign w:val="superscript"/>
        </w:rPr>
        <w:t>[1]</w:t>
      </w:r>
      <w:r>
        <w:rPr>
          <w:rFonts w:ascii="Times New Roman" w:hAnsi="Times New Roman" w:cs="Times New Roman" w:eastAsia="宋体"/>
          <w:b w:val="0"/>
          <w:sz w:val="24"/>
        </w:rPr>
        <w:t>明确指出要面向恶劣危险环境推动特种机器人关键技术研发，工信部等十七部门联合印发的《“机器人+”应用行动实施方案》</w:t>
      </w:r>
      <w:r>
        <w:rPr>
          <w:rFonts w:ascii="Times New Roman" w:hAnsi="Times New Roman" w:cs="Times New Roman" w:eastAsia="宋体"/>
          <w:b w:val="0"/>
          <w:sz w:val="24"/>
          <w:vertAlign w:val="superscript"/>
        </w:rPr>
        <w:t>[2]</w:t>
      </w:r>
      <w:r>
        <w:rPr>
          <w:rFonts w:ascii="Times New Roman" w:hAnsi="Times New Roman" w:cs="Times New Roman" w:eastAsia="宋体"/>
          <w:b w:val="0"/>
          <w:sz w:val="24"/>
        </w:rPr>
        <w:t>亦强调应深化水下等复杂作业环境下的机器人规模化应用。然而在实际工程场景中，传统依赖人工潜水员的作业模式受制于高静水压、湍急暗流等恶劣环境与减压病等生理极限，作业窗口与检测效能严重受限；而传统重型工作级遥控航行器（Work-class ROV）自重达数吨，高度依赖大型作业母船与专用收放系统，动员成本高昂且受限于庞大的几何尺寸，难以进入桩基密集区、狭窄涵洞等受限空间。因此，发展兼具高机动性与便捷投放能力的便携式微小型水下航行器，成为突破狭小受限空间精细检测瓶颈、实现高危水下作业无人化替代的重要装备支撑。</w:t>
      </w:r>
    </w:p>
    <w:p>
      <w:pPr>
        <w:pStyle w:val="a7"/>
        <w:spacing w:line="360" w:lineRule="auto" w:beforeLines="0" w:before="0" w:afterLines="0" w:after="0"/>
        <w:ind w:firstLine="480" w:firstLineChars="200"/>
      </w:pPr>
      <w:r>
        <w:rPr>
          <w:rFonts w:ascii="Times New Roman" w:hAnsi="Times New Roman" w:cs="Times New Roman" w:eastAsia="宋体"/>
          <w:b w:val="0"/>
          <w:sz w:val="24"/>
        </w:rPr>
        <w:t>便携式微小型水下航行器实现高危受限空间自主作业的核心，在于稳定可靠的近壁面悬停与低速精细机动控制。与常规陆空移动机器人不同，水下航行器作业于高密度、高黏性的非结构化流体介质中，面临着显著的水动力附加质量时变效应、二次非线性流体阻尼耗散以及六自由度运动强耦合</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在靠近桥墩、风电桩基或大坝涵洞等结构物作业时，局部流场存在显著的流速梯度、变流湍流及近壁面吸附效应，导致航行器极易产生大幅度位姿漂移与动态失稳。为抵抗外部流扰并满足狭窄空间内的多维机动作业要求，执行机构的推进布局至关重要。常规四推进器构型由于缺失横荡控制自由度，遭遇侧向水流冲击时无法侧向抗流平移，必须强行转动航向正对来流，导致机体难以维持对作业目标的既定位姿锁定与侧向机动作业能力</w:t>
      </w:r>
      <w:r>
        <w:rPr>
          <w:rFonts w:ascii="Times New Roman" w:hAnsi="Times New Roman" w:cs="Times New Roman" w:eastAsia="宋体"/>
          <w:b w:val="0"/>
          <w:sz w:val="24"/>
          <w:vertAlign w:val="superscript"/>
        </w:rPr>
        <w:t>[4]</w:t>
      </w:r>
      <w:r>
        <w:rPr>
          <w:rFonts w:ascii="Times New Roman" w:hAnsi="Times New Roman" w:cs="Times New Roman" w:eastAsia="宋体"/>
          <w:b w:val="0"/>
          <w:sz w:val="24"/>
        </w:rPr>
        <w:t>；而六推进器构型虽具备平面全向移动能力，但其横滚与俯仰自由度通常呈欠驱动状态，高度依赖重浮力力偶被动自稳，在水下复杂涡流扰动下被动姿态恢复能力薄弱，且无法主动改变倾角进行贴合巡检</w:t>
      </w:r>
      <w:r>
        <w:rPr>
          <w:rFonts w:ascii="Times New Roman" w:hAnsi="Times New Roman" w:cs="Times New Roman" w:eastAsia="宋体"/>
          <w:b w:val="0"/>
          <w:sz w:val="24"/>
          <w:vertAlign w:val="superscript"/>
        </w:rPr>
        <w:t>[5]</w:t>
      </w:r>
      <w:r>
        <w:rPr>
          <w:rFonts w:ascii="Times New Roman" w:hAnsi="Times New Roman" w:cs="Times New Roman" w:eastAsia="宋体"/>
          <w:b w:val="0"/>
          <w:sz w:val="24"/>
        </w:rPr>
        <w:t>。相比之下，采用空间对称与矢量倾斜布置的八推进器过驱动构型，具备空间六自由度全解耦独立驱动能力，使航行器能够脱离水平姿态限制，在任意倾斜姿态下实现全向平移机动与空间定点悬停</w:t>
      </w:r>
      <w:r>
        <w:rPr>
          <w:rFonts w:ascii="Times New Roman" w:hAnsi="Times New Roman" w:cs="Times New Roman" w:eastAsia="宋体"/>
          <w:b w:val="0"/>
          <w:sz w:val="24"/>
          <w:vertAlign w:val="superscript"/>
        </w:rPr>
        <w:t>[6]</w:t>
      </w:r>
      <w:r>
        <w:rPr>
          <w:rFonts w:ascii="Times New Roman" w:hAnsi="Times New Roman" w:cs="Times New Roman" w:eastAsia="宋体"/>
          <w:b w:val="0"/>
          <w:sz w:val="24"/>
        </w:rPr>
        <w:t>，成为微小型作业装备抵御多维流扰与完成复杂精细作业的理想构型。然而，过驱动构型在提升控制自由度的同时，也对运动控制算法与推力分配机制提出了严苛挑战。受限于微小型航行器的体积与能耗约束，推进器输出推力有限，在遭遇突发水流冲击或执行大机动调整时极易触及推力幅值的物理上限。此时，若仅对各推进器指令采取独立的幅值饱和截断，将直接破坏推力矢量间的代数几何配比，导致空间广义合成力矩的方向发生严重偏转与畸变</w:t>
      </w:r>
      <w:r>
        <w:rPr>
          <w:rFonts w:ascii="Times New Roman" w:hAnsi="Times New Roman" w:cs="Times New Roman" w:eastAsia="宋体"/>
          <w:b w:val="0"/>
          <w:sz w:val="24"/>
          <w:vertAlign w:val="superscript"/>
        </w:rPr>
        <w:t>[7]</w:t>
      </w:r>
      <w:r>
        <w:rPr>
          <w:rFonts w:ascii="Times New Roman" w:hAnsi="Times New Roman" w:cs="Times New Roman" w:eastAsia="宋体"/>
          <w:b w:val="0"/>
          <w:sz w:val="24"/>
        </w:rPr>
        <w:t>，不仅无法有效补偿流扰，反而会诱发剧烈的姿态失控与翻滚发散，导致航行器丧失作业能力乃至引发机体碰撞损毁。</w:t>
      </w:r>
    </w:p>
    <w:p>
      <w:pPr>
        <w:pStyle w:val="a7"/>
        <w:spacing w:line="360" w:lineRule="auto" w:beforeLines="0" w:before="0" w:afterLines="0" w:after="0"/>
        <w:ind w:firstLine="480" w:firstLineChars="200"/>
      </w:pPr>
      <w:r>
        <w:rPr>
          <w:rFonts w:ascii="Times New Roman" w:hAnsi="Times New Roman" w:cs="Times New Roman" w:eastAsia="宋体"/>
          <w:b w:val="0"/>
          <w:sz w:val="24"/>
        </w:rPr>
        <w:t>针对上述水动力非线性强耦合与推力饱和诱发力矩畸变的两大核心矛盾，且考虑到微小型航行器机载计算资源与底层高频实时控制的时效性约束，本课题旨在基于全球广泛应用的开源机器人飞控系统 PX4</w:t>
      </w:r>
      <w:r>
        <w:rPr>
          <w:rFonts w:ascii="Times New Roman" w:hAnsi="Times New Roman" w:cs="Times New Roman" w:eastAsia="宋体"/>
          <w:b w:val="0"/>
          <w:sz w:val="24"/>
          <w:vertAlign w:val="superscript"/>
        </w:rPr>
        <w:t>[8]</w:t>
      </w:r>
      <w:r>
        <w:rPr>
          <w:rFonts w:ascii="Times New Roman" w:hAnsi="Times New Roman" w:cs="Times New Roman" w:eastAsia="宋体"/>
          <w:b w:val="0"/>
          <w:sz w:val="24"/>
        </w:rPr>
        <w:t>，充分发挥其硬实时多任务调度架构与高频内环控制优势，开展面向八推进器便携式水下航行器的模型控制方法研究。具体而言，本研究拟建立包含刚体动力学、附加质量与二次非线性阻尼的六自由度机理模型，结合数值分析与试验测试辨识提取关键水动力参数；在此基础上，构建动力学前馈解耦补偿算法</w:t>
      </w:r>
      <w:r>
        <w:rPr>
          <w:rFonts w:ascii="Times New Roman" w:hAnsi="Times New Roman" w:cs="Times New Roman" w:eastAsia="宋体"/>
          <w:b w:val="0"/>
          <w:sz w:val="24"/>
          <w:vertAlign w:val="superscript"/>
        </w:rPr>
        <w:t>[9]</w:t>
      </w:r>
      <w:r>
        <w:rPr>
          <w:rFonts w:ascii="Times New Roman" w:hAnsi="Times New Roman" w:cs="Times New Roman" w:eastAsia="宋体"/>
          <w:b w:val="0"/>
          <w:sz w:val="24"/>
        </w:rPr>
        <w:t>，结合高频状态反馈回路，有效补偿非线性流阻并抑制轴间强耦合动态；针对大机动与强流扰下的推力饱和问题，采用力矩优先控制分配算法</w:t>
      </w:r>
      <w:r>
        <w:rPr>
          <w:rFonts w:ascii="Times New Roman" w:hAnsi="Times New Roman" w:cs="Times New Roman" w:eastAsia="宋体"/>
          <w:b w:val="0"/>
          <w:sz w:val="24"/>
          <w:vertAlign w:val="superscript"/>
        </w:rPr>
        <w:t>[7]</w:t>
      </w:r>
      <w:r>
        <w:rPr>
          <w:rFonts w:ascii="Times New Roman" w:hAnsi="Times New Roman" w:cs="Times New Roman" w:eastAsia="宋体"/>
          <w:b w:val="0"/>
          <w:sz w:val="24"/>
        </w:rPr>
        <w:t>，在推进器幅值超限时严格保全姿态合成力矩的方向配比，从而消除翻滚发散隐患。最后，通过软件在环（Software-in-the-Loop, SITL）仿真与物理实验，对所提控制方案开展系统的闭环验证。本研究旨在为八推进器紧凑型航行器在复杂流扰下的高精度作业提供稳定可靠的闭环控制解决方案，并为多执行器过驱动系统的抗饱和控制提供工程实践参考，具有明确的理论意义与工程应用价值。</w:t>
      </w:r>
    </w:p>
    <w:p w14:paraId="4100DB2C" w14:textId="77777777" w:rsidR="00914070" w:rsidRPr="000B4F99" w:rsidRDefault="009672BC" w:rsidP="00F71C2A">
      <w:pPr>
        <w:pStyle w:val="a6"/>
        <w:tabs>
          <w:tab w:val="left" w:pos="7083"/>
        </w:tabs>
        <w:spacing w:before="120" w:after="120" w:line="360" w:lineRule="auto" w:beforeLines="50" w:afterLines="50"/>
        <w:ind w:firstLine="0" w:firstLineChars="0"/>
        <w:rPr>
          <w:rFonts w:hint="eastAsia"/>
          <w:sz w:val="24"/>
        </w:rPr>
      </w:pPr>
      <w:r w:rsidRPr="00914070">
        <w:rPr>
          <w:rFonts w:ascii="Times New Roman" w:hAnsi="Times New Roman" w:cs="Times New Roman" w:eastAsia="黑体"/>
          <w:b w:val="0"/>
          <w:sz w:val="24"/>
        </w:rPr>
        <w:t>2</w:t>
      </w:r>
      <w:r w:rsidRPr="00914070">
        <w:rPr>
          <w:rFonts w:ascii="Times New Roman" w:hAnsi="Times New Roman" w:cs="Times New Roman" w:eastAsia="黑体"/>
          <w:b w:val="0"/>
          <w:sz w:val="24"/>
        </w:rPr>
        <w:t>． 国内外在该方向的研究现状</w:t>
      </w:r>
      <w:r w:rsidR="006323E4" w:rsidRPr="00914070">
        <w:rPr>
          <w:rFonts w:hint="eastAsia" w:ascii="Times New Roman" w:hAnsi="Times New Roman" w:cs="Times New Roman" w:eastAsia="黑体"/>
          <w:b w:val="0"/>
          <w:sz w:val="24"/>
        </w:rPr>
        <w:t>和发展趋势</w:t>
      </w:r>
      <w:r w:rsidR="00F71C2A">
        <w:rPr>
          <w:rFonts w:ascii="Times New Roman" w:hAnsi="Times New Roman" w:cs="Times New Roman" w:eastAsia="黑体"/>
          <w:b w:val="0"/>
          <w:sz w:val="24"/>
        </w:rPr>
      </w:r>
    </w:p>
    <w:p>
      <w:pPr>
        <w:pStyle w:val="a7"/>
        <w:spacing w:line="360" w:lineRule="auto" w:beforeLines="50" w:before="120" w:afterLines="50" w:after="120"/>
        <w:ind w:firstLine="480" w:firstLineChars="200"/>
      </w:pPr>
      <w:r>
        <w:rPr>
          <w:rFonts w:ascii="Times New Roman" w:hAnsi="Times New Roman" w:cs="Times New Roman" w:eastAsia="宋体"/>
          <w:b w:val="0"/>
          <w:sz w:val="24"/>
        </w:rPr>
        <w:t>2.1 水下航行器六自由度机理建模与参数辨识研究现状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建立精确的水动力学与运动学模型，是水下航行器开展动力学仿真、状态估计与闭环控制设计的理论基础。在海洋工程与水下机器人领域，挪威学者 Fossen</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 xml:space="preserve"> 基于牛顿-欧拉方程与流体势流理论构建的非线性动力学统一建模体系，已成为学术界与工业界广泛遵循的经典范式</w:t>
      </w:r>
      <w:r>
        <w:rPr>
          <w:rFonts w:ascii="Times New Roman" w:hAnsi="Times New Roman" w:cs="Times New Roman" w:eastAsia="宋体"/>
          <w:b w:val="0"/>
          <w:sz w:val="24"/>
          <w:vertAlign w:val="superscript"/>
        </w:rPr>
        <w:t>[10]</w:t>
      </w:r>
      <w:r>
        <w:rPr>
          <w:rFonts w:ascii="Times New Roman" w:hAnsi="Times New Roman" w:cs="Times New Roman" w:eastAsia="宋体"/>
          <w:b w:val="0"/>
          <w:sz w:val="24"/>
        </w:rPr>
        <w:t>；严卫生等人</w:t>
      </w:r>
      <w:r>
        <w:rPr>
          <w:rFonts w:ascii="Times New Roman" w:hAnsi="Times New Roman" w:cs="Times New Roman" w:eastAsia="宋体"/>
          <w:b w:val="0"/>
          <w:sz w:val="24"/>
          <w:vertAlign w:val="superscript"/>
        </w:rPr>
        <w:t>[11]</w:t>
      </w:r>
      <w:r>
        <w:rPr>
          <w:rFonts w:ascii="Times New Roman" w:hAnsi="Times New Roman" w:cs="Times New Roman" w:eastAsia="宋体"/>
          <w:b w:val="0"/>
          <w:sz w:val="24"/>
        </w:rPr>
        <w:t xml:space="preserve"> 进一步针对复杂水下航行器系统给出了六自由度空间运动学与刚体-流体动力学的系统化分析方法。该体系将航行器空间运动解耦为附体坐标系下的速度矢量与惯性坐标系下的位姿矢量，完整刻画了刚体质量惯性、水动力附加质量、科氏力与向心力、流体阻尼以及重浮力恢复力矩等动力学分量；Prestero</w:t>
      </w:r>
      <w:r>
        <w:rPr>
          <w:rFonts w:ascii="Times New Roman" w:hAnsi="Times New Roman" w:cs="Times New Roman" w:eastAsia="宋体"/>
          <w:b w:val="0"/>
          <w:sz w:val="24"/>
          <w:vertAlign w:val="superscript"/>
        </w:rPr>
        <w:t>[12]</w:t>
      </w:r>
      <w:r>
        <w:rPr>
          <w:rFonts w:ascii="Times New Roman" w:hAnsi="Times New Roman" w:cs="Times New Roman" w:eastAsia="宋体"/>
          <w:b w:val="0"/>
          <w:sz w:val="24"/>
        </w:rPr>
        <w:t xml:space="preserve"> 则基于该机理体系完成了 REMUS 航行器六自由度动力学模型的全维度试验标定与仿真验证，建立了水下小型航行器机理参数测算与模型校验的公认基准。由于航行器在水下作空间多自由度机动时，刚体惯性与恢复力参数通常可通过三维几何模型与称重浮心试验准确获取，动力学建模的核心难点与不确定性主要集中在水动力参数的确定，尤其是附加质量矩阵与非线性流体阻尼矩阵的求解与辨识。围绕这一核心问题，国内外学者形成了经验公式解析法、计算流体力学数值模拟法、物理水池试验法以及时域数据驱动辨识法等主要研究途径。</w:t>
      </w:r>
    </w:p>
    <w:p>
      <w:pPr>
        <w:pStyle w:val="a7"/>
        <w:spacing w:line="360" w:lineRule="auto" w:beforeLines="0" w:before="0" w:afterLines="0" w:after="0"/>
        <w:ind w:firstLine="480" w:firstLineChars="200"/>
      </w:pPr>
      <w:r>
        <w:rPr>
          <w:rFonts w:ascii="Times New Roman" w:hAnsi="Times New Roman" w:cs="Times New Roman" w:eastAsia="宋体"/>
          <w:b w:val="0"/>
          <w:sz w:val="24"/>
        </w:rPr>
        <w:t>经验公式解析法主要基于细长体理论与经典势流力学中的 Lamb 椭球体解析公式，利用航行器的外形几何特征快速估算附加质量与线性阻尼。该方法计算速度极快，但其理论推导依赖于流体无粘、无旋及几何形体对称等严苛假设，主要适用于外形光滑规则的流线型鱼雷体自主潜航器（AUV）。对于配备外挂推进器及复杂框架结构的紧凑便携式水下航行器，几何外形的非对称性与强烈的流体附体干扰，使得经验解析公式的计算误差显著增大，适用性严重受限。计算流体力学（CFD）数值模拟法通过离散求解雷诺平均纳维-斯托克斯（RANS）方程，利用动网格技术模拟航行器的纯纵荡、纯俯仰等虚拟平面运动机构（PMM）或直航工况，能够精细解析边界层流动分离与近壁面涡脱落现象，在缺乏实体物理样机的前期设计阶段具有重要参考价值</w:t>
      </w:r>
      <w:r>
        <w:rPr>
          <w:rFonts w:ascii="Times New Roman" w:hAnsi="Times New Roman" w:cs="Times New Roman" w:eastAsia="宋体"/>
          <w:b w:val="0"/>
          <w:sz w:val="24"/>
          <w:vertAlign w:val="superscript"/>
        </w:rPr>
        <w:t>[13]</w:t>
      </w:r>
      <w:r>
        <w:rPr>
          <w:rFonts w:ascii="Times New Roman" w:hAnsi="Times New Roman" w:cs="Times New Roman" w:eastAsia="宋体"/>
          <w:b w:val="0"/>
          <w:sz w:val="24"/>
        </w:rPr>
        <w:t>。然而，CFD 方法对网格划分密度与近壁面湍流模型极其敏感，单工况仿真即需耗费数小时乃至数十小时的高性能计算资源，计算开销巨大且高度依赖高算力服务器集群，难以直接应用于控制器的在线模型更新或快速工程迭代。</w:t>
      </w:r>
    </w:p>
    <w:p>
      <w:pPr>
        <w:pStyle w:val="a7"/>
        <w:spacing w:line="360" w:lineRule="auto" w:beforeLines="0" w:before="0" w:afterLines="0" w:after="0"/>
        <w:ind w:firstLine="480" w:firstLineChars="200"/>
      </w:pPr>
      <w:r>
        <w:rPr>
          <w:rFonts w:ascii="Times New Roman" w:hAnsi="Times New Roman" w:cs="Times New Roman" w:eastAsia="宋体"/>
          <w:b w:val="0"/>
          <w:sz w:val="24"/>
        </w:rPr>
        <w:t>相较于理论估算与数值模拟，物理水池试验法通过直接测量航行器在水体中的流体动力响应，能够真实反映复杂附体干扰与非线性阻尼特性，是水动力学研究中获取与校验模型参数的直接途径。传统的物理试验依赖于大型拖曳水池及外置大型平面运动机构，通过机械刚性强迫振荡测量航行器受力，测试精度高，但试验设施造价昂贵、调遣周期长，微小型水下航行器的研发通常难以承受其高昂成本。为突破这一限制，Caccia 等人</w:t>
      </w:r>
      <w:r>
        <w:rPr>
          <w:rFonts w:ascii="Times New Roman" w:hAnsi="Times New Roman" w:cs="Times New Roman" w:eastAsia="宋体"/>
          <w:b w:val="0"/>
          <w:sz w:val="24"/>
          <w:vertAlign w:val="superscript"/>
        </w:rPr>
        <w:t>[14]</w:t>
      </w:r>
      <w:r>
        <w:rPr>
          <w:rFonts w:ascii="Times New Roman" w:hAnsi="Times New Roman" w:cs="Times New Roman" w:eastAsia="宋体"/>
          <w:b w:val="0"/>
          <w:sz w:val="24"/>
        </w:rPr>
        <w:t xml:space="preserve"> 提出了基于航行器板载传感器的轻量化时域试验辨识范式，开创了无需外置大型拖曳水池、仅利用推进器已知激励输入与板载惯导及测速传感器输出，通过阶跃推力试验与自由衰减试验在时域内分离解耦提取线性与二次阻尼参数的工程实现路径。此后，Chin 与 Lau</w:t>
      </w:r>
      <w:r>
        <w:rPr>
          <w:rFonts w:ascii="Times New Roman" w:hAnsi="Times New Roman" w:cs="Times New Roman" w:eastAsia="宋体"/>
          <w:b w:val="0"/>
          <w:sz w:val="24"/>
          <w:vertAlign w:val="superscript"/>
        </w:rPr>
        <w:t>[15]</w:t>
      </w:r>
      <w:r>
        <w:rPr>
          <w:rFonts w:ascii="Times New Roman" w:hAnsi="Times New Roman" w:cs="Times New Roman" w:eastAsia="宋体"/>
          <w:b w:val="0"/>
          <w:sz w:val="24"/>
        </w:rPr>
        <w:t xml:space="preserve"> 针对复杂外形航行器拓展了空间耦合阻尼矩阵的试验建模方法，Ross 等人</w:t>
      </w:r>
      <w:r>
        <w:rPr>
          <w:rFonts w:ascii="Times New Roman" w:hAnsi="Times New Roman" w:cs="Times New Roman" w:eastAsia="宋体"/>
          <w:b w:val="0"/>
          <w:sz w:val="24"/>
          <w:vertAlign w:val="superscript"/>
        </w:rPr>
        <w:t>[16]</w:t>
      </w:r>
      <w:r>
        <w:rPr>
          <w:rFonts w:ascii="Times New Roman" w:hAnsi="Times New Roman" w:cs="Times New Roman" w:eastAsia="宋体"/>
          <w:b w:val="0"/>
          <w:sz w:val="24"/>
        </w:rPr>
        <w:t xml:space="preserve"> 与 Avila 等人</w:t>
      </w:r>
      <w:r>
        <w:rPr>
          <w:rFonts w:ascii="Times New Roman" w:hAnsi="Times New Roman" w:cs="Times New Roman" w:eastAsia="宋体"/>
          <w:b w:val="0"/>
          <w:sz w:val="24"/>
          <w:vertAlign w:val="superscript"/>
        </w:rPr>
        <w:t>[17]</w:t>
      </w:r>
      <w:r>
        <w:rPr>
          <w:rFonts w:ascii="Times New Roman" w:hAnsi="Times New Roman" w:cs="Times New Roman" w:eastAsia="宋体"/>
          <w:b w:val="0"/>
          <w:sz w:val="24"/>
        </w:rPr>
        <w:t xml:space="preserve"> 则进一步规范了自由衰减试验在多轴水动力系数辨识中的数据处理流程。板载试验辨识方法有效降低了试验门槛，但在对状态变量进行离散数值微分以获取加速度信号时，极易放大高频测量噪声，影响辨识精度。</w:t>
      </w:r>
    </w:p>
    <w:p>
      <w:pPr>
        <w:pStyle w:val="a7"/>
        <w:spacing w:line="360" w:lineRule="auto" w:beforeLines="0" w:before="0" w:afterLines="0" w:after="0"/>
        <w:ind w:firstLine="480" w:firstLineChars="200"/>
      </w:pPr>
      <w:r>
        <w:rPr>
          <w:rFonts w:ascii="Times New Roman" w:hAnsi="Times New Roman" w:cs="Times New Roman" w:eastAsia="宋体"/>
          <w:b w:val="0"/>
          <w:sz w:val="24"/>
        </w:rPr>
        <w:t>针对传统时域最小二乘辨识对微分噪声敏感的问题，近年来数据驱动与滤波抗噪辨识方法取得了显著进展。Park 等人</w:t>
      </w:r>
      <w:r>
        <w:rPr>
          <w:rFonts w:ascii="Times New Roman" w:hAnsi="Times New Roman" w:cs="Times New Roman" w:eastAsia="宋体"/>
          <w:b w:val="0"/>
          <w:sz w:val="24"/>
          <w:vertAlign w:val="superscript"/>
        </w:rPr>
        <w:t>[18]</w:t>
      </w:r>
      <w:r>
        <w:rPr>
          <w:rFonts w:ascii="Times New Roman" w:hAnsi="Times New Roman" w:cs="Times New Roman" w:eastAsia="宋体"/>
          <w:b w:val="0"/>
          <w:sz w:val="24"/>
        </w:rPr>
        <w:t xml:space="preserve"> 提出了广义动量回归辨识法，通过对刚体动力学方程在时域进行积分变换，将求解加速度转化为求解广义动量积分，从原理上彻底避免了对角速度信号进行数值微分引入的噪声放大，显著提升了水下实机测试中的参数收敛精度。Harris 等人</w:t>
      </w:r>
      <w:r>
        <w:rPr>
          <w:rFonts w:ascii="Times New Roman" w:hAnsi="Times New Roman" w:cs="Times New Roman" w:eastAsia="宋体"/>
          <w:b w:val="0"/>
          <w:sz w:val="24"/>
          <w:vertAlign w:val="superscript"/>
        </w:rPr>
        <w:t>[19]</w:t>
      </w:r>
      <w:r>
        <w:rPr>
          <w:rFonts w:ascii="Times New Roman" w:hAnsi="Times New Roman" w:cs="Times New Roman" w:eastAsia="宋体"/>
          <w:b w:val="0"/>
          <w:sz w:val="24"/>
        </w:rPr>
        <w:t xml:space="preserve"> 提出了基于零空间滤波的自适应辨识框架，在航行器执行闭环控制任务的同时，利用控制分配的零空间富余自由度进行持续激励信号注入，实现了多维水动力参数的在线解耦辨识。此外，物理信息神经网络（PINN）</w:t>
      </w:r>
      <w:r>
        <w:rPr>
          <w:rFonts w:ascii="Times New Roman" w:hAnsi="Times New Roman" w:cs="Times New Roman" w:eastAsia="宋体"/>
          <w:b w:val="0"/>
          <w:sz w:val="24"/>
          <w:vertAlign w:val="superscript"/>
        </w:rPr>
        <w:t>[20]</w:t>
      </w:r>
      <w:r>
        <w:rPr>
          <w:rFonts w:ascii="Times New Roman" w:hAnsi="Times New Roman" w:cs="Times New Roman" w:eastAsia="宋体"/>
          <w:b w:val="0"/>
          <w:sz w:val="24"/>
        </w:rPr>
        <w:t xml:space="preserve"> 与动态系统稀疏辨识（SINDy）</w:t>
      </w:r>
      <w:r>
        <w:rPr>
          <w:rFonts w:ascii="Times New Roman" w:hAnsi="Times New Roman" w:cs="Times New Roman" w:eastAsia="宋体"/>
          <w:b w:val="0"/>
          <w:sz w:val="24"/>
          <w:vertAlign w:val="superscript"/>
        </w:rPr>
        <w:t>[21]</w:t>
      </w:r>
      <w:r>
        <w:rPr>
          <w:rFonts w:ascii="Times New Roman" w:hAnsi="Times New Roman" w:cs="Times New Roman" w:eastAsia="宋体"/>
          <w:b w:val="0"/>
          <w:sz w:val="24"/>
        </w:rPr>
        <w:t xml:space="preserve"> 等将先验物理定律与数据驱动相结合的非线性辨识方法展现了良好潜力；Chen 等人</w:t>
      </w:r>
      <w:r>
        <w:rPr>
          <w:rFonts w:ascii="Times New Roman" w:hAnsi="Times New Roman" w:cs="Times New Roman" w:eastAsia="宋体"/>
          <w:b w:val="0"/>
          <w:sz w:val="24"/>
          <w:vertAlign w:val="superscript"/>
        </w:rPr>
        <w:t>[22]</w:t>
      </w:r>
      <w:r>
        <w:rPr>
          <w:rFonts w:ascii="Times New Roman" w:hAnsi="Times New Roman" w:cs="Times New Roman" w:eastAsia="宋体"/>
          <w:b w:val="0"/>
          <w:sz w:val="24"/>
        </w:rPr>
        <w:t xml:space="preserve"> 提出的神经常微分方程（Neural ODE）通过将残差动力学映射为连续时间状态演化，为复杂时变动态的连续辨识开辟了新途径；Duong 与 Atanasov</w:t>
      </w:r>
      <w:r>
        <w:rPr>
          <w:rFonts w:ascii="Times New Roman" w:hAnsi="Times New Roman" w:cs="Times New Roman" w:eastAsia="宋体"/>
          <w:b w:val="0"/>
          <w:sz w:val="24"/>
          <w:vertAlign w:val="superscript"/>
        </w:rPr>
        <w:t>[23]</w:t>
      </w:r>
      <w:r>
        <w:rPr>
          <w:rFonts w:ascii="Times New Roman" w:hAnsi="Times New Roman" w:cs="Times New Roman" w:eastAsia="宋体"/>
          <w:b w:val="0"/>
          <w:sz w:val="24"/>
        </w:rPr>
        <w:t xml:space="preserve"> 则进一步将李群几何与能量守恒定律引入连续神经网络，提出了面向海洋航行器的端口哈密顿神经微分方程（PH-NODE），在保持物理系统能量守恒的前提下实现了流体阻尼与强耦合动力学的高保真学习。然而，纯数据驱动与深度学习辨识方法高度依赖大规模高质量训练样本，且复杂的网络结构在小型嵌入式系统上的模型泛化性与在线推断开销仍面临显著挑战。</w:t>
      </w:r>
    </w:p>
    <w:p>
      <w:pPr>
        <w:pStyle w:val="a7"/>
        <w:spacing w:line="360" w:lineRule="auto" w:beforeLines="0" w:before="0" w:afterLines="0" w:after="0"/>
        <w:ind w:firstLine="480" w:firstLineChars="200"/>
      </w:pPr>
      <w:r>
        <w:rPr>
          <w:rFonts w:ascii="Times New Roman" w:hAnsi="Times New Roman" w:cs="Times New Roman" w:eastAsia="宋体"/>
          <w:b w:val="0"/>
          <w:sz w:val="24"/>
        </w:rPr>
        <w:t>综合上述研究现状可知，针对便携式微小型水下航行器的工程应用背景，纯经验公式精度不足，CFD 数值模拟开销过重，而大型拖曳水池试验成本过高。因此，以成熟的 Fossen 六自由度动力学机理方程为理论底座，设计基于板载传感器响应的推进器阶跃与自由衰减试验流程，并结合抗噪动量变换与时域拟合算法进行关键水动力参数的提取与模型校验，是兼顾建模保真度、工程可实施性与低研发成本的合理技术路线。</w:t>
      </w:r>
    </w:p>
    <w:p>
      <w:pPr>
        <w:pStyle w:val="a7"/>
        <w:spacing w:line="360" w:lineRule="auto" w:beforeLines="50" w:before="120" w:afterLines="50" w:after="120"/>
        <w:ind w:firstLine="480" w:firstLineChars="200"/>
      </w:pPr>
      <w:r>
        <w:rPr>
          <w:rFonts w:ascii="Times New Roman" w:hAnsi="Times New Roman" w:cs="Times New Roman" w:eastAsia="宋体"/>
          <w:b w:val="0"/>
          <w:sz w:val="24"/>
        </w:rPr>
        <w:t>2.2 水下航行器运动控制与动态补偿方法研究现状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水下航行器在近壁面流扰、受限水域与强剪切流场中作业时，面临着剧烈的水动力非线性耗散、六自由度多轴强耦合以及执行器推力饱和等复杂动态特性。如何在保证闭环稳定性的前提下，实现空间定点悬停、姿态稳定以及高精度轨迹跟踪，是水下机器人控制领域长盛不衰的研究热点</w:t>
      </w:r>
      <w:r>
        <w:rPr>
          <w:rFonts w:ascii="Times New Roman" w:hAnsi="Times New Roman" w:cs="Times New Roman" w:eastAsia="宋体"/>
          <w:b w:val="0"/>
          <w:sz w:val="24"/>
          <w:vertAlign w:val="superscript"/>
        </w:rPr>
        <w:t>[24]</w:t>
      </w:r>
      <w:r>
        <w:rPr>
          <w:rFonts w:ascii="Times New Roman" w:hAnsi="Times New Roman" w:cs="Times New Roman" w:eastAsia="宋体"/>
          <w:b w:val="0"/>
          <w:sz w:val="24"/>
        </w:rPr>
        <w:t>；朱大奇与孙兵</w:t>
      </w:r>
      <w:r>
        <w:rPr>
          <w:rFonts w:ascii="Times New Roman" w:hAnsi="Times New Roman" w:cs="Times New Roman" w:eastAsia="宋体"/>
          <w:b w:val="0"/>
          <w:sz w:val="24"/>
          <w:vertAlign w:val="superscript"/>
        </w:rPr>
        <w:t>[25]</w:t>
      </w:r>
      <w:r>
        <w:rPr>
          <w:rFonts w:ascii="Times New Roman" w:hAnsi="Times New Roman" w:cs="Times New Roman" w:eastAsia="宋体"/>
          <w:b w:val="0"/>
          <w:sz w:val="24"/>
        </w:rPr>
        <w:t xml:space="preserve"> 对水下机器人运动控制技术的演进脉络与典型控制架构进行了系统综述。经过数十年的演进，国内外学者围绕海洋航行器运动控制与动态补偿形成了清晰的理论与技术脉络，主要涵盖经典线性解耦控制、强鲁棒滑模变结构控制、李雅普诺夫递归反步控制、基于机理模型的动态逆与前馈解耦控制、主动抗扰与增量动态逆控制，以及在线预测优化与数据学习控制等代表性方法。</w:t>
      </w:r>
    </w:p>
    <w:p>
      <w:pPr>
        <w:pStyle w:val="a7"/>
        <w:spacing w:line="360" w:lineRule="auto" w:beforeLines="0" w:before="0" w:afterLines="0" w:after="0"/>
        <w:ind w:firstLine="480" w:firstLineChars="200"/>
      </w:pPr>
      <w:r>
        <w:rPr>
          <w:rFonts w:ascii="Times New Roman" w:hAnsi="Times New Roman" w:cs="Times New Roman" w:eastAsia="宋体"/>
          <w:b w:val="0"/>
          <w:sz w:val="24"/>
        </w:rPr>
        <w:t>经典线性解耦控制方法以单回路比例-积分-微分（PID）控制、增益调度 PID 以及线性二次型调节器（LQR）为代表。由于算法结构直观、计算开销小且工程成熟度高，PID 控制至今仍是多数商用巡检级遥控航行器（ROV）广泛采用的底层基准方案</w:t>
      </w:r>
      <w:r>
        <w:rPr>
          <w:rFonts w:ascii="Times New Roman" w:hAnsi="Times New Roman" w:cs="Times New Roman" w:eastAsia="宋体"/>
          <w:b w:val="0"/>
          <w:sz w:val="24"/>
          <w:vertAlign w:val="superscript"/>
        </w:rPr>
        <w:t>[26]</w:t>
      </w:r>
      <w:r>
        <w:rPr>
          <w:rFonts w:ascii="Times New Roman" w:hAnsi="Times New Roman" w:cs="Times New Roman" w:eastAsia="宋体"/>
          <w:b w:val="0"/>
          <w:sz w:val="24"/>
        </w:rPr>
        <w:t>。然而，线性控制器通常基于平衡工作点展开小扰动线性化假设，在水下高密度黏性介质中，当航行器进行大幅度机动或遭遇突发不对称水流冲击时，水动力二次非线性阻尼与多轴交叉耦合显著增强，固定增益的单轴线性控制器性能急剧退化，普遍表现为响应滞后、动态超调过大甚至诱发持续的振荡失稳。</w:t>
      </w:r>
    </w:p>
    <w:p>
      <w:pPr>
        <w:pStyle w:val="a7"/>
        <w:spacing w:line="360" w:lineRule="auto" w:beforeLines="0" w:before="0" w:afterLines="0" w:after="0"/>
        <w:ind w:firstLine="480" w:firstLineChars="200"/>
      </w:pPr>
      <w:r>
        <w:rPr>
          <w:rFonts w:ascii="Times New Roman" w:hAnsi="Times New Roman" w:cs="Times New Roman" w:eastAsia="宋体"/>
          <w:b w:val="0"/>
          <w:sz w:val="24"/>
        </w:rPr>
        <w:t>为克服水动力参数不确定性与外部流扰，20 世纪 80 年代起，强鲁棒滑模控制（SMC）方法被引入水下航行器控制领域。Yoerger 与 Slotine</w:t>
      </w:r>
      <w:r>
        <w:rPr>
          <w:rFonts w:ascii="Times New Roman" w:hAnsi="Times New Roman" w:cs="Times New Roman" w:eastAsia="宋体"/>
          <w:b w:val="0"/>
          <w:sz w:val="24"/>
          <w:vertAlign w:val="superscript"/>
        </w:rPr>
        <w:t>[27]</w:t>
      </w:r>
      <w:r>
        <w:rPr>
          <w:rFonts w:ascii="Times New Roman" w:hAnsi="Times New Roman" w:cs="Times New Roman" w:eastAsia="宋体"/>
          <w:b w:val="0"/>
          <w:sz w:val="24"/>
        </w:rPr>
        <w:t xml:space="preserve"> 首次针对水下航行器动力学参数摄动构建了滑模变结构控制器，并首创滑动边界层平滑连续化技术，有效缓解了传统滑模开关控制在推进器无刷电机上诱发的高频剧烈抖振（Chattering）；随后，Healey 与 Lienard</w:t>
      </w:r>
      <w:r>
        <w:rPr>
          <w:rFonts w:ascii="Times New Roman" w:hAnsi="Times New Roman" w:cs="Times New Roman" w:eastAsia="宋体"/>
          <w:b w:val="0"/>
          <w:sz w:val="24"/>
          <w:vertAlign w:val="superscript"/>
        </w:rPr>
        <w:t>[28]</w:t>
      </w:r>
      <w:r>
        <w:rPr>
          <w:rFonts w:ascii="Times New Roman" w:hAnsi="Times New Roman" w:cs="Times New Roman" w:eastAsia="宋体"/>
          <w:b w:val="0"/>
          <w:sz w:val="24"/>
        </w:rPr>
        <w:t xml:space="preserve"> 提出了面向多变量功能子系统的解耦滑模架构，成功实现了纵荡航速、垂荡下潜与偏航转向运动的子系统滑模解耦。滑模控制对匹配扰动具有天然的不变性，但边界层内的连续化折中往往削弱了抗扰精度，且为了抑制大水流扰动而整定的较大切换增益，容易导致推进器频繁经历剧烈的正反转阶跃，加剧机械磨损与电池能量损耗；为此，Chu 等人</w:t>
      </w:r>
      <w:r>
        <w:rPr>
          <w:rFonts w:ascii="Times New Roman" w:hAnsi="Times New Roman" w:cs="Times New Roman" w:eastAsia="宋体"/>
          <w:b w:val="0"/>
          <w:sz w:val="24"/>
          <w:vertAlign w:val="superscript"/>
        </w:rPr>
        <w:t>[29]</w:t>
      </w:r>
      <w:r>
        <w:rPr>
          <w:rFonts w:ascii="Times New Roman" w:hAnsi="Times New Roman" w:cs="Times New Roman" w:eastAsia="宋体"/>
          <w:b w:val="0"/>
          <w:sz w:val="24"/>
        </w:rPr>
        <w:t xml:space="preserve"> 针对未知海流扰动与推进器推力饱和双重受限工况，提出了带高增益状态观测器的自适应积分端点滑模控制方案，有效改善了多轴饱和受限下的抗扰跟踪性能，但其观测器增益自适应调节规律依然较为复杂。</w:t>
      </w:r>
    </w:p>
    <w:p>
      <w:pPr>
        <w:pStyle w:val="a7"/>
        <w:spacing w:line="360" w:lineRule="auto" w:beforeLines="0" w:before="0" w:afterLines="0" w:after="0"/>
        <w:ind w:firstLine="480" w:firstLineChars="200"/>
      </w:pPr>
      <w:r>
        <w:rPr>
          <w:rFonts w:ascii="Times New Roman" w:hAnsi="Times New Roman" w:cs="Times New Roman" w:eastAsia="宋体"/>
          <w:b w:val="0"/>
          <w:sz w:val="24"/>
        </w:rPr>
        <w:t>随着非线性系统理论的发展，李雅普诺夫递归反步控制（Backstepping）方法在 20 世纪 90 年代后得到系统研究</w:t>
      </w:r>
      <w:r>
        <w:rPr>
          <w:rFonts w:ascii="Times New Roman" w:hAnsi="Times New Roman" w:cs="Times New Roman" w:eastAsia="宋体"/>
          <w:b w:val="0"/>
          <w:sz w:val="24"/>
          <w:vertAlign w:val="superscript"/>
        </w:rPr>
        <w:t>[30]</w:t>
      </w:r>
      <w:r>
        <w:rPr>
          <w:rFonts w:ascii="Times New Roman" w:hAnsi="Times New Roman" w:cs="Times New Roman" w:eastAsia="宋体"/>
          <w:b w:val="0"/>
          <w:sz w:val="24"/>
        </w:rPr>
        <w:t>。该方法打破了传统几何反馈线性化必须满足严格相对阶与对消全部非线性的苛刻限制，通过引入虚拟控制量，将高阶动力学系统分解为不超过系统阶数的多个级联标量子系统，自底向上逐步递推设计虚拟控制函数并构造控制李雅普诺夫函数（CLF），在严格数学意义上保证了全状态的渐近稳定性。尽管反步法在欠驱动航行器路径跟踪中展现了优良的全局稳定性，但随着控制自由度增加，高阶虚控制量的连续解析求导引发了“微分项计算膨胀（Explosion of Terms）”的固有缺陷，导致嵌入式解算负担加剧，且微分运算对传感器高频测量噪声极其敏感。</w:t>
      </w:r>
    </w:p>
    <w:p>
      <w:pPr>
        <w:pStyle w:val="a7"/>
        <w:spacing w:line="360" w:lineRule="auto" w:beforeLines="0" w:before="0" w:afterLines="0" w:after="0"/>
        <w:ind w:firstLine="480" w:firstLineChars="200"/>
      </w:pPr>
      <w:r>
        <w:rPr>
          <w:rFonts w:ascii="Times New Roman" w:hAnsi="Times New Roman" w:cs="Times New Roman" w:eastAsia="宋体"/>
          <w:b w:val="0"/>
          <w:sz w:val="24"/>
        </w:rPr>
        <w:t>针对高阶非线性控制在工程实机中难以部署的问题，基于机理模型的动态逆与前馈解耦控制方法提供了兼顾模型精度与计算效率的解决途径。该方法利用航行器六自由度非线性动力学机理模型（包括质量惯性、附加质量、非线性阻尼及科氏力等），通过代数逆变换在控制算法中构建前馈对消回路，将复杂的非线性强耦合系统解耦为相互独立的线性通道。Smallwood 与 Whitcomb</w:t>
      </w:r>
      <w:r>
        <w:rPr>
          <w:rFonts w:ascii="Times New Roman" w:hAnsi="Times New Roman" w:cs="Times New Roman" w:eastAsia="宋体"/>
          <w:b w:val="0"/>
          <w:sz w:val="24"/>
          <w:vertAlign w:val="superscript"/>
        </w:rPr>
        <w:t>[9]</w:t>
      </w:r>
      <w:r>
        <w:rPr>
          <w:rFonts w:ascii="Times New Roman" w:hAnsi="Times New Roman" w:cs="Times New Roman" w:eastAsia="宋体"/>
          <w:b w:val="0"/>
          <w:sz w:val="24"/>
        </w:rPr>
        <w:t xml:space="preserve"> 在其具有里程碑意义的物理实机试验中，系统开展了水下机器人动力定位与轨迹跟踪的消融评估，实测证明引入精确的动力学机理前馈补偿可将闭环跟踪均方根误差降低一个数量级以上。该方法具有显式解析形式且计算耗时极低，但其抗扰性能依赖于离线模型的保真度，在实际工程中通常需与鲁棒反馈内环相结合，以抑制残余模型误差与非定常扰动。</w:t>
      </w:r>
    </w:p>
    <w:p>
      <w:pPr>
        <w:pStyle w:val="a7"/>
        <w:spacing w:line="360" w:lineRule="auto" w:beforeLines="0" w:before="0" w:afterLines="0" w:after="0"/>
        <w:ind w:firstLine="480" w:firstLineChars="200"/>
      </w:pPr>
      <w:r>
        <w:rPr>
          <w:rFonts w:ascii="Times New Roman" w:hAnsi="Times New Roman" w:cs="Times New Roman" w:eastAsia="宋体"/>
          <w:b w:val="0"/>
          <w:sz w:val="24"/>
        </w:rPr>
        <w:t>近十年来，为降低控制系统对离线先验机理模型的过度依赖，控制理论由依赖全局全量模型的传统动态逆向依靠机载传感器高频反馈的主动抗扰与增量控制方法演进。自抗扰控制（ADRC）与增量非线性动态逆（INDI）将航行器内部未建模动态与未知流扰统摄为“总扰动”，利用扩张状态观测器（ESO）或机载惯性测量单元（IMU）高频采集的角加速度信号，在毫秒级离散控制步长内实时提取扰动值并实施增量对消。Smeur 等人</w:t>
      </w:r>
      <w:r>
        <w:rPr>
          <w:rFonts w:ascii="Times New Roman" w:hAnsi="Times New Roman" w:cs="Times New Roman" w:eastAsia="宋体"/>
          <w:b w:val="0"/>
          <w:sz w:val="24"/>
          <w:vertAlign w:val="superscript"/>
        </w:rPr>
        <w:t>[31]</w:t>
      </w:r>
      <w:r>
        <w:rPr>
          <w:rFonts w:ascii="Times New Roman" w:hAnsi="Times New Roman" w:cs="Times New Roman" w:eastAsia="宋体"/>
          <w:b w:val="0"/>
          <w:sz w:val="24"/>
        </w:rPr>
        <w:t xml:space="preserve"> 奠定了增量动态逆在欠驱动飞行器中的鲁棒控制基础，Slawik 等人</w:t>
      </w:r>
      <w:r>
        <w:rPr>
          <w:rFonts w:ascii="Times New Roman" w:hAnsi="Times New Roman" w:cs="Times New Roman" w:eastAsia="宋体"/>
          <w:b w:val="0"/>
          <w:sz w:val="24"/>
          <w:vertAlign w:val="superscript"/>
        </w:rPr>
        <w:t>[32]</w:t>
      </w:r>
      <w:r>
        <w:rPr>
          <w:rFonts w:ascii="Times New Roman" w:hAnsi="Times New Roman" w:cs="Times New Roman" w:eastAsia="宋体"/>
          <w:b w:val="0"/>
          <w:sz w:val="24"/>
        </w:rPr>
        <w:t xml:space="preserve"> 则将其进一步拓展至具备敏捷变态机动能力的多推进器特种水下航行器（Cuttlefish AUV）姿态控制中。该类方法显著降低了对水动力离线辨识精度的依赖，但其对传感器时钟同步精度、角加速度滤波延迟以及执行器响应带宽极为敏感，极易因相位滞后诱发高频自激振荡。</w:t>
      </w:r>
    </w:p>
    <w:p>
      <w:pPr>
        <w:pStyle w:val="a7"/>
        <w:spacing w:line="360" w:lineRule="auto" w:beforeLines="0" w:before="0" w:afterLines="0" w:after="0"/>
        <w:ind w:firstLine="480" w:firstLineChars="200"/>
      </w:pPr>
      <w:r>
        <w:rPr>
          <w:rFonts w:ascii="Times New Roman" w:hAnsi="Times New Roman" w:cs="Times New Roman" w:eastAsia="宋体"/>
          <w:b w:val="0"/>
          <w:sz w:val="24"/>
        </w:rPr>
        <w:t>此外，随着机载算力的发展，在线预测优化与数据学习控制方法逐渐成为前沿热点，主要包括非线性模型预测控制（NMPC）、模型预测轮廓控制（MPCC）以及数据驱动自适应控制。Heshmati 等人</w:t>
      </w:r>
      <w:r>
        <w:rPr>
          <w:rFonts w:ascii="Times New Roman" w:hAnsi="Times New Roman" w:cs="Times New Roman" w:eastAsia="宋体"/>
          <w:b w:val="0"/>
          <w:sz w:val="24"/>
          <w:vertAlign w:val="superscript"/>
        </w:rPr>
        <w:t>[33]</w:t>
      </w:r>
      <w:r>
        <w:rPr>
          <w:rFonts w:ascii="Times New Roman" w:hAnsi="Times New Roman" w:cs="Times New Roman" w:eastAsia="宋体"/>
          <w:b w:val="0"/>
          <w:sz w:val="24"/>
        </w:rPr>
        <w:t xml:space="preserve"> 针对欠驱动水下航行器在波流扰动下的轨迹跟踪，构建了基于非线性状态观测的鲁棒 NMPC 框架；Liniger 等人</w:t>
      </w:r>
      <w:r>
        <w:rPr>
          <w:rFonts w:ascii="Times New Roman" w:hAnsi="Times New Roman" w:cs="Times New Roman" w:eastAsia="宋体"/>
          <w:b w:val="0"/>
          <w:sz w:val="24"/>
          <w:vertAlign w:val="superscript"/>
        </w:rPr>
        <w:t>[34]</w:t>
      </w:r>
      <w:r>
        <w:rPr>
          <w:rFonts w:ascii="Times New Roman" w:hAnsi="Times New Roman" w:cs="Times New Roman" w:eastAsia="宋体"/>
          <w:b w:val="0"/>
          <w:sz w:val="24"/>
        </w:rPr>
        <w:t xml:space="preserve"> 建立了考虑轮廓误差的预测优化模型；Torrente 等人</w:t>
      </w:r>
      <w:r>
        <w:rPr>
          <w:rFonts w:ascii="Times New Roman" w:hAnsi="Times New Roman" w:cs="Times New Roman" w:eastAsia="宋体"/>
          <w:b w:val="0"/>
          <w:sz w:val="24"/>
          <w:vertAlign w:val="superscript"/>
        </w:rPr>
        <w:t>[35]</w:t>
      </w:r>
      <w:r>
        <w:rPr>
          <w:rFonts w:ascii="Times New Roman" w:hAnsi="Times New Roman" w:cs="Times New Roman" w:eastAsia="宋体"/>
          <w:b w:val="0"/>
          <w:sz w:val="24"/>
        </w:rPr>
        <w:t xml:space="preserve"> 则通过实机对比系统评估了数据驱动 NMPC 与基于机理模型平坦前馈补偿的性能边界，指出在计算资源受限场景下，解析模型前馈能够在耗费极低算力的前提下达成接近预测优化的动态补偿效果；Shi 等人</w:t>
      </w:r>
      <w:r>
        <w:rPr>
          <w:rFonts w:ascii="Times New Roman" w:hAnsi="Times New Roman" w:cs="Times New Roman" w:eastAsia="宋体"/>
          <w:b w:val="0"/>
          <w:sz w:val="24"/>
          <w:vertAlign w:val="superscript"/>
        </w:rPr>
        <w:t>[36]</w:t>
      </w:r>
      <w:r>
        <w:rPr>
          <w:rFonts w:ascii="Times New Roman" w:hAnsi="Times New Roman" w:cs="Times New Roman" w:eastAsia="宋体"/>
          <w:b w:val="0"/>
          <w:sz w:val="24"/>
        </w:rPr>
        <w:t xml:space="preserve"> 提出的 Neural-Lander 框架展示了离线学习气动流扰残差以实现复杂扰动前馈补偿的有效性；加州理工学院团队在此基础上提出的 Neural-Fly 架构</w:t>
      </w:r>
      <w:r>
        <w:rPr>
          <w:rFonts w:ascii="Times New Roman" w:hAnsi="Times New Roman" w:cs="Times New Roman" w:eastAsia="宋体"/>
          <w:b w:val="0"/>
          <w:sz w:val="24"/>
          <w:vertAlign w:val="superscript"/>
        </w:rPr>
        <w:t>[37]</w:t>
      </w:r>
      <w:r>
        <w:rPr>
          <w:rFonts w:ascii="Times New Roman" w:hAnsi="Times New Roman" w:cs="Times New Roman" w:eastAsia="宋体"/>
          <w:b w:val="0"/>
          <w:sz w:val="24"/>
        </w:rPr>
        <w:t xml:space="preserve"> 则进一步实现了深度神经网络对非定常强风扰动的毫秒级在线自适应抵御。该类算法能够在有限预测时域内显式处理推进器推力饱和与变化速率等物理约束，控制性能上限极高；然而，在线滚动优化或深度神经网络在线推理通常需要在控制周期内执行密集的多重矩阵迭代求解，其巨大的计算与内存开销超出了常规低功耗微控制器的硬件承受范围。</w:t>
      </w:r>
    </w:p>
    <w:p>
      <w:pPr>
        <w:pStyle w:val="a7"/>
        <w:spacing w:line="360" w:lineRule="auto" w:beforeLines="0" w:before="0" w:afterLines="0" w:after="0"/>
        <w:ind w:firstLine="480" w:firstLineChars="200"/>
      </w:pPr>
      <w:r>
        <w:rPr>
          <w:rFonts w:ascii="Times New Roman" w:hAnsi="Times New Roman" w:cs="Times New Roman" w:eastAsia="宋体"/>
          <w:b w:val="0"/>
          <w:sz w:val="24"/>
        </w:rPr>
        <w:t>综合上述代表性控制方法的演化脉络与优缺点可知，对于搭载低功耗嵌入式飞控平台的便携式微小型水下航行器而言，纯线性控制无法克服高密度介质强流阻，滑模控制存在推进器抖振磨损，高阶反步法面临微分求导膨胀，增量动态逆受制于传感器滤波时滞，而在线预测优化与深度学习算法则难以跨越嵌入式算力瓶颈。因此，对标 Smallwood 等人验证的经典工程范式，采用基于动力学机理模型的显式前馈解耦补偿与高频状态反馈相结合的控制架构，利用计算耗时极低的解析前馈快速对消主导的二次阻尼与耦合动态，同时依托高频反馈内环抑制残余扰动与模型偏差，是契合机载嵌入式计算资源约束的合理技术选型。</w:t>
      </w:r>
    </w:p>
    <w:p>
      <w:pPr>
        <w:pStyle w:val="a7"/>
        <w:spacing w:line="360" w:lineRule="auto" w:beforeLines="50" w:before="120" w:afterLines="50" w:after="120"/>
        <w:ind w:firstLine="480" w:firstLineChars="200"/>
      </w:pPr>
      <w:r>
        <w:rPr>
          <w:rFonts w:ascii="Times New Roman" w:hAnsi="Times New Roman" w:cs="Times New Roman" w:eastAsia="宋体"/>
          <w:b w:val="0"/>
          <w:sz w:val="24"/>
        </w:rPr>
        <w:t>2.3 过驱动多推进器控制分配与推力饱和处理研究现状</w:t>
      </w:r>
    </w:p>
    <w:p>
      <w:pPr>
        <w:pStyle w:val="a7"/>
        <w:spacing w:line="360" w:lineRule="auto" w:beforeLines="0" w:before="0" w:afterLines="0" w:after="0"/>
        <w:ind w:firstLine="480" w:firstLineChars="200"/>
      </w:pPr>
      <w:r>
        <w:rPr>
          <w:rFonts w:ascii="Times New Roman" w:hAnsi="Times New Roman" w:cs="Times New Roman" w:eastAsia="宋体"/>
          <w:b w:val="0"/>
          <w:sz w:val="24"/>
        </w:rPr>
        <w:t>在空间对称与矢量倾斜布置的八推进器便携式水下航行器中，执行器维度高于被控机体自由度维度，系统呈现显著的空间过驱动与执行器冗余特性。上层运动控制器通常解算输出机体三维虚控制力与三维期望力矩构成的六维虚拟控制指令，底层执行系统则必须将其映射为八台推进器的独立推力或转速指令。控制分配（Control Allocation）作为连接上层运动控制算法与底层执行机构的物理映射枢纽，其核心目标是在满足推进器推力幅值、变化速率等物理约束的前提下，优化实现六维虚拟控制指令的重构解算</w:t>
      </w:r>
      <w:r>
        <w:rPr>
          <w:rFonts w:ascii="Times New Roman" w:hAnsi="Times New Roman" w:cs="Times New Roman" w:eastAsia="宋体"/>
          <w:b w:val="0"/>
          <w:sz w:val="24"/>
          <w:vertAlign w:val="superscript"/>
        </w:rPr>
        <w:t>[7]</w:t>
      </w:r>
      <w:r>
        <w:rPr>
          <w:rFonts w:ascii="Times New Roman" w:hAnsi="Times New Roman" w:cs="Times New Roman" w:eastAsia="宋体"/>
          <w:b w:val="0"/>
          <w:sz w:val="24"/>
        </w:rPr>
        <w:t>。经过数十年发展，控制分配理论在海洋工程与航空航天领域形成了显式解析广义逆法、带约束数值优化法以及启发式抗饱和分配法等代表性技术途径</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w:t>
      </w:r>
    </w:p>
    <w:p>
      <w:pPr>
        <w:pStyle w:val="a7"/>
        <w:spacing w:line="360" w:lineRule="auto" w:beforeLines="0" w:before="0" w:afterLines="0" w:after="0"/>
        <w:ind w:firstLine="480" w:firstLineChars="200"/>
      </w:pPr>
      <w:r>
        <w:rPr>
          <w:rFonts w:ascii="Times New Roman" w:hAnsi="Times New Roman" w:cs="Times New Roman" w:eastAsia="宋体"/>
          <w:b w:val="0"/>
          <w:sz w:val="24"/>
        </w:rPr>
        <w:t>显式解析广义逆法以 Moore-Penrose 伪逆以及加权伪逆（WPINV）为代表。该类方法在无执行机构物理约束假设下，通过构造以推进器控制能量最小化为目标的二次型性能指标，利用拉格朗日乘子法直接求取欠定方程组的全局闭式解析解。加权伪逆法通过在目标函数中引入对角加权矩阵，能够灵活调整不同推进器的出力权重或抑制特定推进器的功率负荷。Bodson</w:t>
      </w:r>
      <w:r>
        <w:rPr>
          <w:rFonts w:ascii="Times New Roman" w:hAnsi="Times New Roman" w:cs="Times New Roman" w:eastAsia="宋体"/>
          <w:b w:val="0"/>
          <w:sz w:val="24"/>
          <w:vertAlign w:val="superscript"/>
        </w:rPr>
        <w:t>[38]</w:t>
      </w:r>
      <w:r>
        <w:rPr>
          <w:rFonts w:ascii="Times New Roman" w:hAnsi="Times New Roman" w:cs="Times New Roman" w:eastAsia="宋体"/>
          <w:b w:val="0"/>
          <w:sz w:val="24"/>
        </w:rPr>
        <w:t xml:space="preserve"> 在其经典对比研究中系统评估了加权伪逆法、直接分配法与二次规划优化分配的性能特性，指出加权伪逆在无约束区域具备极高的计算效率与能耗最优性。由于其求解过程仅涉及离线常数矩阵求逆与在线代数矩阵乘加，单次解算仅耗费数微秒，对计算资源受限的微控制器具有天然的适配性。然而，广义逆法本质上属于无约束线性映射，当航行器执行大机动或遭遇突发强水流冲击时，算出的推力指令极易超出推进器的物理推力上限，算法本身缺乏显式处理执行器非线性饱和约束的能力。</w:t>
      </w:r>
    </w:p>
    <w:p>
      <w:pPr>
        <w:pStyle w:val="a7"/>
        <w:spacing w:line="360" w:lineRule="auto" w:beforeLines="0" w:before="0" w:afterLines="0" w:after="0"/>
        <w:ind w:firstLine="480" w:firstLineChars="200"/>
      </w:pPr>
      <w:r>
        <w:rPr>
          <w:rFonts w:ascii="Times New Roman" w:hAnsi="Times New Roman" w:cs="Times New Roman" w:eastAsia="宋体"/>
          <w:b w:val="0"/>
          <w:sz w:val="24"/>
        </w:rPr>
        <w:t>为显式处理执行机构的物理饱和界限，带约束数值优化分配方法被广泛研究。该类方法将控制分配问题构建为标准带约束二次规划（QP）问题，在目标函数中综合权衡虚拟控制力矩跟踪误差与推进器能耗，并显式引入推力幅值上下限与推力变化率界限作为不等式约束。Härkegård</w:t>
      </w:r>
      <w:r>
        <w:rPr>
          <w:rFonts w:ascii="Times New Roman" w:hAnsi="Times New Roman" w:cs="Times New Roman" w:eastAsia="宋体"/>
          <w:b w:val="0"/>
          <w:sz w:val="24"/>
          <w:vertAlign w:val="superscript"/>
        </w:rPr>
        <w:t>[39]</w:t>
      </w:r>
      <w:r>
        <w:rPr>
          <w:rFonts w:ascii="Times New Roman" w:hAnsi="Times New Roman" w:cs="Times New Roman" w:eastAsia="宋体"/>
          <w:b w:val="0"/>
          <w:sz w:val="24"/>
        </w:rPr>
        <w:t xml:space="preserve"> 提出了基于主动集（Active Set）算法的高效二次规划分配框架，程卫平等</w:t>
      </w:r>
      <w:r>
        <w:rPr>
          <w:rFonts w:ascii="Times New Roman" w:hAnsi="Times New Roman" w:cs="Times New Roman" w:eastAsia="宋体"/>
          <w:b w:val="0"/>
          <w:sz w:val="24"/>
          <w:vertAlign w:val="superscript"/>
        </w:rPr>
        <w:t>[40]</w:t>
      </w:r>
      <w:r>
        <w:rPr>
          <w:rFonts w:ascii="Times New Roman" w:hAnsi="Times New Roman" w:cs="Times New Roman" w:eastAsia="宋体"/>
          <w:b w:val="0"/>
          <w:sz w:val="24"/>
        </w:rPr>
        <w:t xml:space="preserve"> 则针对水下机器人推力分配提出了可行方向优化算法，能够在推力可达集内实现力矩跟踪的最优解算。带约束数值优化方法在数学上具有严密的最优性保证，但其本质属于在线迭代数值算法，单步求解耗时高度依赖初始点与活动约束集的迭代路径。在强扰动或极端机动等最恶劣工况下，在线迭代步数激增，低功耗嵌入式处理器存在计算超时被迫截断迭代的风险，进而输出非可行解或诱发系统任务调度延迟，给高频实时控制系统带来了不确定性。</w:t>
      </w:r>
    </w:p>
    <w:p>
      <w:pPr>
        <w:pStyle w:val="a7"/>
        <w:spacing w:line="360" w:lineRule="auto" w:beforeLines="0" w:before="0" w:afterLines="0" w:after="0"/>
        <w:ind w:firstLine="480" w:firstLineChars="200"/>
      </w:pPr>
      <w:r>
        <w:rPr>
          <w:rFonts w:ascii="Times New Roman" w:hAnsi="Times New Roman" w:cs="Times New Roman" w:eastAsia="宋体"/>
          <w:b w:val="0"/>
          <w:sz w:val="24"/>
        </w:rPr>
        <w:t>针对显式逆法的饱和缺失与在线优化算法的计算开销矛盾，启发式抗饱和分配方法在工程实践中得到了深入探索。早期工程中最简便的饱和处理方式为单推进器独立硬截断（Clipping），即直接将超限推进器的推力指令截断在物理饱和极值处。Johansen 与 Fossen</w:t>
      </w:r>
      <w:r>
        <w:rPr>
          <w:rFonts w:ascii="Times New Roman" w:hAnsi="Times New Roman" w:cs="Times New Roman" w:eastAsia="宋体"/>
          <w:b w:val="0"/>
          <w:sz w:val="24"/>
          <w:vertAlign w:val="superscript"/>
        </w:rPr>
        <w:t>[7]</w:t>
      </w:r>
      <w:r>
        <w:rPr>
          <w:rFonts w:ascii="Times New Roman" w:hAnsi="Times New Roman" w:cs="Times New Roman" w:eastAsia="宋体"/>
          <w:b w:val="0"/>
          <w:sz w:val="24"/>
        </w:rPr>
        <w:t xml:space="preserve"> 在其经典综述中明确指出，对于多执行器过驱动系统，简单的独立硬截断将直接破坏多推进器推力矢量间的代数几何几何配比，导致实际合成的六维广义力矩产生严重偏转与畸变（Torque Distortion）。在水下复杂流场中，推进器饱和诱发的力矩偏转往往会反向激发未被控制的翻滚与俯仰动态，成为导致航行器在强流中剧烈失稳翻覆的关键诱因</w:t>
      </w:r>
      <w:r>
        <w:rPr>
          <w:rFonts w:ascii="Times New Roman" w:hAnsi="Times New Roman" w:cs="Times New Roman" w:eastAsia="宋体"/>
          <w:b w:val="0"/>
          <w:sz w:val="24"/>
          <w:vertAlign w:val="superscript"/>
        </w:rPr>
        <w:t>[41]</w:t>
      </w:r>
      <w:r>
        <w:rPr>
          <w:rFonts w:ascii="Times New Roman" w:hAnsi="Times New Roman" w:cs="Times New Roman" w:eastAsia="宋体"/>
          <w:b w:val="0"/>
          <w:sz w:val="24"/>
        </w:rPr>
        <w:t>。</w:t>
      </w:r>
    </w:p>
    <w:p>
      <w:pPr>
        <w:pStyle w:val="a7"/>
        <w:spacing w:line="360" w:lineRule="auto" w:beforeLines="0" w:before="0" w:afterLines="0" w:after="0"/>
        <w:ind w:firstLine="480" w:firstLineChars="200"/>
      </w:pPr>
      <w:r>
        <w:rPr>
          <w:rFonts w:ascii="Times New Roman" w:hAnsi="Times New Roman" w:cs="Times New Roman" w:eastAsia="宋体"/>
          <w:b w:val="0"/>
          <w:sz w:val="24"/>
        </w:rPr>
        <w:t>为解决饱和引起的力矩方向畸变问题，学者们提出了力矩优先与保方向等比例缩放（Direction-Preserving Scaling）分配策略。该方法基于水下作业的物理安全性先验，即在狭窄受限空间作业时，航行器的姿态角稳定防倾覆需求严格优先于位置平移精度。当检测到推进器计算指令超出物理饱和界限时，算法计算最大超限比例因子，并对引起力矩失真的推进器分量实施等比例降阶缩放，或在分配目标中对姿态力矩赋予极高权重，从而以主动牺牲部分平移航速为代价，严格保证合成姿态力矩的方向与相对比例不发生畸变</w:t>
      </w:r>
      <w:r>
        <w:rPr>
          <w:rFonts w:ascii="Times New Roman" w:hAnsi="Times New Roman" w:cs="Times New Roman" w:eastAsia="宋体"/>
          <w:b w:val="0"/>
          <w:sz w:val="24"/>
          <w:vertAlign w:val="superscript"/>
        </w:rPr>
        <w:t>[42]</w:t>
      </w:r>
      <w:r>
        <w:rPr>
          <w:rFonts w:ascii="Times New Roman" w:hAnsi="Times New Roman" w:cs="Times New Roman" w:eastAsia="宋体"/>
          <w:b w:val="0"/>
          <w:sz w:val="24"/>
        </w:rPr>
        <w:t>。Brunke 等人</w:t>
      </w:r>
      <w:r>
        <w:rPr>
          <w:rFonts w:ascii="Times New Roman" w:hAnsi="Times New Roman" w:cs="Times New Roman" w:eastAsia="宋体"/>
          <w:b w:val="0"/>
          <w:sz w:val="24"/>
          <w:vertAlign w:val="superscript"/>
        </w:rPr>
        <w:t>[43]</w:t>
      </w:r>
      <w:r>
        <w:rPr>
          <w:rFonts w:ascii="Times New Roman" w:hAnsi="Times New Roman" w:cs="Times New Roman" w:eastAsia="宋体"/>
          <w:b w:val="0"/>
          <w:sz w:val="24"/>
        </w:rPr>
        <w:t xml:space="preserve"> 在机器人安全学习与控制综述中强调，在执行器存在严格物理幅值与速率约束时，保证系统满足控制李雅普诺夫安全性屏障是防止系统倾覆失稳的先决条件；类似地，开源飞控 PX4 在其底层控制分配模块中采用了序贯解饱和（Sequential Desaturation）逻辑，按照角速度姿态力矩、偏航力矩、垂荡推力与水平平移推力的固定优先级，在执行器饱和时自底向上逐级削减低优先级通道的控制量。此外，在水下多模态感知与高频闭环反馈方面，Zhao 等人</w:t>
      </w:r>
      <w:r>
        <w:rPr>
          <w:rFonts w:ascii="Times New Roman" w:hAnsi="Times New Roman" w:cs="Times New Roman" w:eastAsia="宋体"/>
          <w:b w:val="0"/>
          <w:sz w:val="24"/>
          <w:vertAlign w:val="superscript"/>
        </w:rPr>
        <w:t>[44]</w:t>
      </w:r>
      <w:r>
        <w:rPr>
          <w:rFonts w:ascii="Times New Roman" w:hAnsi="Times New Roman" w:cs="Times New Roman" w:eastAsia="宋体"/>
          <w:b w:val="0"/>
          <w:sz w:val="24"/>
        </w:rPr>
        <w:t xml:space="preserve"> 针对微小型紧凑水下机器人提出了无标定 IMU-DVL 时空联合标定与高频测速估计框架（UIC），为控制系统在高频内环中获取可靠的机体线速度与姿态反馈提供了高保真感知支撑。这类启发式分配方法在保持解析计算极低开销的同时，有效消除了力矩方向畸变对姿态稳定性的威胁。</w:t>
      </w:r>
    </w:p>
    <w:p>
      <w:pPr>
        <w:pStyle w:val="a7"/>
        <w:spacing w:line="360" w:lineRule="auto" w:beforeLines="0" w:before="0" w:afterLines="0" w:after="0"/>
        <w:ind w:firstLine="480" w:firstLineChars="200"/>
      </w:pPr>
      <w:r>
        <w:rPr>
          <w:rFonts w:ascii="Times New Roman" w:hAnsi="Times New Roman" w:cs="Times New Roman" w:eastAsia="宋体"/>
          <w:b w:val="0"/>
          <w:sz w:val="24"/>
        </w:rPr>
        <w:t>综合上述控制分配研究现状可知，针对八推进器便携式水下航行器的嵌入式控制系统，纯加权伪逆法缺乏抗饱和机制，带约束二次规划存在迭代耗时波动与超时风险，而单推进器独立硬截断则会诱发致命的力矩方向偏转。因此，采用以加权伪逆解析解为基准、并结合力矩优先保方向解饱和逻辑的控制分配架构，是在严苛微控制器资源约束下兼顾毫秒级高频硬实时响应与推力饱和安全防倾覆的合理技术途径。</w:t>
      </w:r>
    </w:p>
    <w:p>
      <w:pPr>
        <w:pStyle w:val="a7"/>
        <w:spacing w:line="360" w:lineRule="auto" w:beforeLines="50" w:before="120" w:afterLines="50" w:after="120"/>
        <w:ind w:firstLine="480" w:firstLineChars="200"/>
      </w:pPr>
      <w:r>
        <w:rPr>
          <w:rFonts w:ascii="Times New Roman" w:hAnsi="Times New Roman" w:cs="Times New Roman" w:eastAsia="宋体"/>
          <w:b w:val="0"/>
          <w:sz w:val="24"/>
        </w:rPr>
        <w:t>2.4 现有研究局限与发展趋势</w:t>
      </w:r>
    </w:p>
    <w:p>
      <w:pPr>
        <w:pStyle w:val="a7"/>
        <w:spacing w:line="360" w:lineRule="auto" w:beforeLines="0" w:before="0" w:afterLines="0" w:after="0"/>
        <w:ind w:firstLine="480" w:firstLineChars="200"/>
      </w:pPr>
      <w:r>
        <w:rPr>
          <w:rFonts w:ascii="Times New Roman" w:hAnsi="Times New Roman" w:cs="Times New Roman" w:eastAsia="宋体"/>
          <w:b w:val="0"/>
          <w:sz w:val="24"/>
        </w:rPr>
        <w:t>纵观国内外在水下航行器动力学建模、运动控制及控制分配领域的研究成果，学者们在势流机理推导、非线性鲁棒控制算法构建以及多执行器优化分配方面已经建立了坚实的理论体系。然而，现有研究多数面向吨位较大的工作级潜航器、长航程鱼雷体 AUV 或基于理想仿真环境开展，当将现有理论方法移植应用于搭载低功耗嵌入式微控制器、作业于狭窄受限水域的便携式微小型八推进器水下航行器时，仍面临以下显著的研究局限与客观矛盾：</w:t>
      </w:r>
    </w:p>
    <w:p>
      <w:pPr>
        <w:pStyle w:val="a7"/>
        <w:spacing w:line="360" w:lineRule="auto" w:beforeLines="0" w:before="0" w:afterLines="0" w:after="0"/>
        <w:ind w:firstLine="480" w:firstLineChars="200"/>
      </w:pPr>
      <w:r>
        <w:rPr>
          <w:rFonts w:ascii="Times New Roman" w:hAnsi="Times New Roman" w:cs="Times New Roman" w:eastAsia="宋体"/>
          <w:b w:val="0"/>
          <w:sz w:val="24"/>
        </w:rPr>
        <w:t>第一，高保真水动力参数获取门槛与微小型平台低成本研发条件之间的矛盾。现有高精度水动力建模方法高度依赖大型平面运动机构（PMM）拖曳水池或耗费巨量计算资源的精细 CFD 动网格仿真，研发周期长且设施动员成本极其昂贵；经验解析公式则难以适用于多外挂推进器及紧凑舱体结构的强耦合水动力计算。尽管以 Caccia 为代表的板载传感器试验法大幅降低了试验门槛，但在常规小型水池受限空间内，如何有效抑制离散微分高频噪声、设计规范简便的激励工况并完成关键水动力参数的可靠拟合与校验，仍是制约基于模型的先进控制算法向微小型装备下沉推广的首要瓶颈。</w:t>
      </w:r>
    </w:p>
    <w:p>
      <w:pPr>
        <w:pStyle w:val="a7"/>
        <w:spacing w:line="360" w:lineRule="auto" w:beforeLines="0" w:before="0" w:afterLines="0" w:after="0"/>
        <w:ind w:firstLine="480" w:firstLineChars="200"/>
      </w:pPr>
      <w:r>
        <w:rPr>
          <w:rFonts w:ascii="Times New Roman" w:hAnsi="Times New Roman" w:cs="Times New Roman" w:eastAsia="宋体"/>
          <w:b w:val="0"/>
          <w:sz w:val="24"/>
        </w:rPr>
        <w:t>第二，先进复杂非线性控制算法与机载嵌入式计算资源严苛约束之间的矛盾。为克服高密度介质中的非线性流阻与模型不确定性，学术界提出了非线性模型预测控制（NMPC）、高阶滑模控制以及深度强化学习等先进控制策略，并在离线数值仿真中展现出优良的控制性能。然而，此类算法普遍依赖高密度的在线滚动优化迭代求解或连续高阶求导运算，在计算与存储资源极度受限、功耗严控的机载嵌入式微控制器（MCU）硬件平台上，难以保证百赫兹以上的硬实时刷新频率，极易诱发任务调度延迟或看门狗异常。如何在严格的嵌入式算力边界内，构建兼顾毫秒级计算时效性与非线性流动力动态补偿精度的轻量化闭环控制架构，是实现工程可靠落地的关键所在。</w:t>
      </w:r>
    </w:p>
    <w:p>
      <w:pPr>
        <w:pStyle w:val="a7"/>
        <w:spacing w:line="360" w:lineRule="auto" w:beforeLines="0" w:before="0" w:afterLines="0" w:after="0"/>
        <w:ind w:firstLine="480" w:firstLineChars="200"/>
      </w:pPr>
      <w:r>
        <w:rPr>
          <w:rFonts w:ascii="Times New Roman" w:hAnsi="Times New Roman" w:cs="Times New Roman" w:eastAsia="宋体"/>
          <w:b w:val="0"/>
          <w:sz w:val="24"/>
        </w:rPr>
        <w:t>第三，过驱动推进构型控制自由度提升与推力饱和诱发力矩方向畸变失稳之间的矛盾。空间对称与矢量倾斜布置的八推进器构型赋予了航行器六自由度全解耦独立机动能力，但微小型装备推进器推力储备有限，在遭遇近壁面强突发流扰或执行大机动调姿时极易触及推力幅值物理上限。现有多数工程实现沿用的单推进器独立硬截断策略，会直接破坏空间推力矢量的代数几何配比，导致六维广义合成力矩的方向产生严重偏转与畸变，反向诱发剧烈的非期望翻滚发散与姿态失稳。如何在保持极低代数解算开销的前提下，建立具备力矩方向保全能力的抗饱和解饱和机制，在推力饱和极端工况下优先保全姿态稳定防倾覆，是多执行器过驱动系统亟待解决的核心问题。</w:t>
      </w:r>
    </w:p>
    <w:p>
      <w:pPr>
        <w:pStyle w:val="a7"/>
        <w:spacing w:line="360" w:lineRule="auto" w:beforeLines="0" w:before="0" w:afterLines="0" w:after="0"/>
        <w:ind w:firstLine="480" w:firstLineChars="200"/>
      </w:pPr>
      <w:r>
        <w:rPr>
          <w:rFonts w:ascii="Times New Roman" w:hAnsi="Times New Roman" w:cs="Times New Roman" w:eastAsia="宋体"/>
          <w:b w:val="0"/>
          <w:sz w:val="24"/>
        </w:rPr>
        <w:t>综上所述，针对上述局限，面向便携式微小型水下航行器的运动控制研究，正逐步向低成本机理辨识、兼顾实时性与补偿精度的轻量化控制算法构建、以及推力饱和极端工况下的姿态安全保全等方向深入拓展。</w:t>
      </w:r>
    </w:p>
    <w:p>
      <w:pPr>
        <w:pStyle w:val="a7"/>
        <w:spacing w:line="360" w:lineRule="auto" w:beforeLines="0" w:before="0" w:afterLines="0" w:after="0"/>
        <w:ind w:firstLine="480" w:firstLineChars="200"/>
      </w:pPr>
      <w:r>
        <w:rPr>
          <w:rFonts w:ascii="Times New Roman" w:hAnsi="Times New Roman" w:cs="Times New Roman" w:eastAsia="宋体"/>
          <w:b w:val="0"/>
          <w:sz w:val="24"/>
        </w:rPr>
        <w:t>结合上述背景，本课题拟以成熟的开源飞控系统 PX4 为底层实时控制与验证基座，针对八推进器便携式水下航行器，开展水动力机理建模与参数辨识、模型解耦前馈补偿控制、以及推力饱和状态下的力矩优先控制分配方法研究。通过构建计算紧凑、物理可行的闭环控制方案，并依托软件在环（SITL）仿真与物理实验开展系统验证，为微小型装备在受限水域与流扰工况下的稳定作业提供工程可行的方法支撑。</w:t>
      </w:r>
    </w:p>
    <w:permEnd w:id="1319923814"/>
    <w:p w14:paraId="6385DA06"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二、</w:t>
      </w:r>
      <w:permStart w:id="1570139158" w:edGrp="everyone"/>
      <w:r w:rsidR="00F71C2A">
        <w:rPr>
          <w:rFonts w:ascii="Times New Roman" w:eastAsia="黑体" w:hint="eastAsia" w:hAnsi="Times New Roman" w:cs="Times New Roman"/>
          <w:b w:val="0"/>
          <w:sz w:val="28"/>
        </w:rPr>
        <w:t>毕业论文</w:t>
      </w:r>
      <w:permEnd w:id="1570139158"/>
      <w:r w:rsidR="003C56B6" w:rsidRPr="0008585D">
        <w:rPr>
          <w:rFonts w:ascii="Times New Roman" w:eastAsia="黑体" w:hint="eastAsia" w:hAnsi="Times New Roman" w:cs="Times New Roman"/>
          <w:b w:val="0"/>
          <w:sz w:val="28"/>
        </w:rPr>
        <w:t>方案</w:t>
      </w:r>
      <w:r w:rsidR="00137786" w:rsidRPr="0008585D">
        <w:rPr>
          <w:rFonts w:ascii="Times New Roman" w:eastAsia="黑体" w:hint="eastAsia" w:hAnsi="Times New Roman" w:cs="Times New Roman"/>
          <w:b w:val="0"/>
          <w:sz w:val="28"/>
        </w:rPr>
        <w:t>介绍</w:t>
      </w:r>
    </w:p>
    <w:p w14:paraId="2109F3BF"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permStart w:id="1741359920" w:edGrp="everyone"/>
      <w:r w:rsidRPr="00C45F8C">
        <w:rPr>
          <w:rFonts w:ascii="Times New Roman" w:hAnsi="Times New Roman" w:hint="eastAsia" w:cs="Times New Roman" w:eastAsia="黑体"/>
          <w:b w:val="0"/>
          <w:sz w:val="24"/>
        </w:rPr>
        <w:t>1</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主要研究内容</w:t>
      </w:r>
      <w:r w:rsidR="00914070" w:rsidRPr="00C45F8C">
        <w:rPr>
          <w:rFonts w:ascii="Times New Roman" w:hAnsi="Times New Roman" w:hint="eastAsia" w:cs="Times New Roman" w:eastAsia="黑体"/>
          <w:b w:val="0"/>
          <w:sz w:val="24"/>
        </w:rPr>
      </w:r>
    </w:p>
    <w:p>
      <w:pPr>
        <w:pStyle w:val="a7"/>
        <w:spacing w:line="360" w:lineRule="auto" w:beforeLines="50" w:before="120" w:afterLines="50" w:after="120"/>
        <w:ind w:firstLine="480" w:firstLineChars="200"/>
      </w:pPr>
      <w:r>
        <w:rPr>
          <w:rFonts w:ascii="Times New Roman" w:hAnsi="Times New Roman" w:cs="Times New Roman" w:eastAsia="宋体"/>
          <w:b w:val="0"/>
          <w:sz w:val="24"/>
        </w:rPr>
        <w:t>1.1 预期研究目标</w:t>
      </w:r>
    </w:p>
    <w:p>
      <w:pPr>
        <w:pStyle w:val="a7"/>
        <w:spacing w:line="360" w:lineRule="auto" w:beforeLines="0" w:before="0" w:afterLines="0" w:after="0"/>
        <w:ind w:firstLine="480" w:firstLineChars="200"/>
      </w:pPr>
      <w:r>
        <w:rPr>
          <w:rFonts w:ascii="Times New Roman" w:hAnsi="Times New Roman" w:cs="Times New Roman" w:eastAsia="宋体"/>
          <w:b w:val="0"/>
          <w:sz w:val="24"/>
        </w:rPr>
        <w:t>针对便携式微小型水下航行器在近壁面受限水域作业时面临的非线性流阻强耦合、机载嵌入式计算资源受限以及推进器推力饱和诱发力矩方向畸变失稳等客观矛盾，本课题以成熟的开源机器人飞控系统 PX4 为底层实时控制与验证基座，开展水动力机理建模、低成本参数辨识、模型解耦前馈补偿控制以及力矩优先推力分配方法研究。课题预期达成的具体研究目标如下：</w:t>
      </w:r>
    </w:p>
    <w:p>
      <w:pPr>
        <w:pStyle w:val="a7"/>
        <w:spacing w:line="360" w:lineRule="auto" w:beforeLines="0" w:before="0" w:afterLines="0" w:after="0"/>
        <w:ind w:firstLine="480" w:firstLineChars="200"/>
      </w:pPr>
      <w:r>
        <w:rPr>
          <w:rFonts w:ascii="Times New Roman" w:hAnsi="Times New Roman" w:cs="Times New Roman" w:eastAsia="宋体"/>
          <w:b w:val="0"/>
          <w:sz w:val="24"/>
        </w:rPr>
        <w:t>（1）建立水下航行器六自由度机理动力学模型与低成本参数辨识流程。基于刚体动力学与流体势流理论构建六自由度非线性状态方程，明确质量惯性、附加质量及非线性流体阻尼的物理作用机制；设计基于板载传感器响应的小型水池试验方案，利用推进器已知激励与运动响应数据提取关键水动力参数，完成动力学模型的拟合与残差校验，为控制系统设计提供可靠的先验模型支撑。</w:t>
      </w:r>
    </w:p>
    <w:p>
      <w:pPr>
        <w:pStyle w:val="a7"/>
        <w:spacing w:line="360" w:lineRule="auto" w:beforeLines="0" w:before="0" w:afterLines="0" w:after="0"/>
        <w:ind w:firstLine="480" w:firstLineChars="200"/>
      </w:pPr>
      <w:r>
        <w:rPr>
          <w:rFonts w:ascii="Times New Roman" w:hAnsi="Times New Roman" w:cs="Times New Roman" w:eastAsia="宋体"/>
          <w:b w:val="0"/>
          <w:sz w:val="24"/>
        </w:rPr>
        <w:t>（2）构建兼顾动态补偿精度与低计算复杂度的闭环运动控制系统。在 PX4 模块化高频实时控制架构下，设计基于机理动力学的显式前馈解耦补偿模块，与高频状态反馈回路形成双闭环控制架构；在严格受限的机载微控制器计算边界内，有效补偿流体阻尼引起的非线性耗散并抑制多轴动态交叉耦合，提升航行器在复杂流扰工况下空间定点悬停、定深定航以及多自由度平滑机动的稳定控制能力。</w:t>
      </w:r>
    </w:p>
    <w:p>
      <w:pPr>
        <w:pStyle w:val="a7"/>
        <w:spacing w:line="360" w:lineRule="auto" w:beforeLines="0" w:before="0" w:afterLines="0" w:after="0"/>
        <w:ind w:firstLine="480" w:firstLineChars="200"/>
      </w:pPr>
      <w:r>
        <w:rPr>
          <w:rFonts w:ascii="Times New Roman" w:hAnsi="Times New Roman" w:cs="Times New Roman" w:eastAsia="宋体"/>
          <w:b w:val="0"/>
          <w:sz w:val="24"/>
        </w:rPr>
        <w:t>（3）构建推力受限工况下的八推进器力矩优先控制分配机制。针对空间过驱动构型推导几何配置矩阵，设计具有解析形式的力矩优先分配算法；在遭遇强流扰或执行大机动导致推进器触及物理推力上限时，按力矩优先级自适应调节推力输出配比，优先维持六维广义力矩中的姿态控制力矩方向，有效抑制传统独立幅值硬截断诱发的翻滚发散风险，提升极端工况下的姿态安全性与防倾覆能力。</w:t>
      </w:r>
    </w:p>
    <w:p>
      <w:pPr>
        <w:pStyle w:val="a7"/>
        <w:spacing w:line="360" w:lineRule="auto" w:beforeLines="0" w:before="0" w:afterLines="0" w:after="0"/>
        <w:ind w:firstLine="480" w:firstLineChars="200"/>
      </w:pPr>
      <w:r>
        <w:rPr>
          <w:rFonts w:ascii="Times New Roman" w:hAnsi="Times New Roman" w:cs="Times New Roman" w:eastAsia="宋体"/>
          <w:b w:val="0"/>
          <w:sz w:val="24"/>
        </w:rPr>
        <w:t>（4）建立分级闭环仿真与物理实验的量化消融对比评估基准。在软件在环（SITL）仿真与物理实验水池环境中，设计定点悬停抗流扰、多轴阶跃响应等典型测试工况；以传统无模型 PID 控制策略为基准，从轨迹跟踪误差、姿态稳定裕度及推进器输出饱和程度等维度开展消融对比测试，系统评估引入动力学前馈补偿与力矩优先分配机制对航行器动态控制性能的改善效果，形成闭环验证。</w:t>
      </w:r>
    </w:p>
    <w:p>
      <w:pPr>
        <w:pStyle w:val="a7"/>
        <w:spacing w:line="360" w:lineRule="auto" w:beforeLines="50" w:before="120" w:afterLines="50" w:after="120"/>
        <w:ind w:firstLine="480" w:firstLineChars="200"/>
      </w:pPr>
      <w:r>
        <w:rPr>
          <w:rFonts w:ascii="Times New Roman" w:hAnsi="Times New Roman" w:cs="Times New Roman" w:eastAsia="宋体"/>
          <w:b w:val="0"/>
          <w:sz w:val="24"/>
        </w:rPr>
        <w:t>1.2 核心研究内容要点</w:t>
      </w:r>
    </w:p>
    <w:p>
      <w:pPr>
        <w:pStyle w:val="a7"/>
        <w:spacing w:line="360" w:lineRule="auto" w:beforeLines="0" w:before="0" w:afterLines="0" w:after="0"/>
        <w:ind w:firstLine="480" w:firstLineChars="200"/>
      </w:pPr>
      <w:r>
        <w:rPr>
          <w:rFonts w:ascii="Times New Roman" w:hAnsi="Times New Roman" w:cs="Times New Roman" w:eastAsia="宋体"/>
          <w:b w:val="0"/>
          <w:sz w:val="24"/>
        </w:rPr>
        <w:t>为达成上述预期研究目标，本课题紧密围绕水动力非线性强耦合、机载嵌入式实时控制算力约束以及过驱动多推进器饱和诱发力矩方向畸变失稳三大核心问题，重点开展以下三项研究内容：</w:t>
      </w:r>
    </w:p>
    <w:p>
      <w:pPr>
        <w:pStyle w:val="a7"/>
        <w:spacing w:line="360" w:lineRule="auto" w:beforeLines="0" w:before="0" w:afterLines="0" w:after="0"/>
        <w:ind w:firstLine="480" w:firstLineChars="200"/>
      </w:pPr>
      <w:r>
        <w:rPr>
          <w:rFonts w:ascii="Times New Roman" w:hAnsi="Times New Roman" w:cs="Times New Roman" w:eastAsia="宋体"/>
          <w:b w:val="0"/>
          <w:sz w:val="24"/>
        </w:rPr>
        <w:t>（1）水下航行器六自由度机理动力学建模与低成本水动力参数辨识</w:t>
      </w:r>
    </w:p>
    <w:p>
      <w:pPr>
        <w:pStyle w:val="a7"/>
        <w:spacing w:line="360" w:lineRule="auto" w:beforeLines="0" w:before="0" w:afterLines="0" w:after="0"/>
        <w:ind w:firstLine="480" w:firstLineChars="200"/>
      </w:pPr>
      <w:r>
        <w:rPr>
          <w:rFonts w:ascii="Times New Roman" w:hAnsi="Times New Roman" w:cs="Times New Roman" w:eastAsia="宋体"/>
          <w:b w:val="0"/>
          <w:sz w:val="24"/>
        </w:rPr>
        <w:t>建立精确反映流体动力特性的系统动力学模型，是开展后续运动控制设计与状态仿真的基础。本部分主要研究内容包括：① 构建六自由度非线性动力学状态方程：基于刚体运动学与流体势流理论，采用附体坐标系与惯性坐标系双坐标系描述，建立包含刚体质量惯性、水动力附加质量、科氏力与向心力、流体阻尼以及重浮力恢复力矩的六自由度非线性动力学方程。结合航行器三维实体模型测算与水下配重配平试验，确定机体刚体惯性矩阵与稳态恢复力矩参数；② 设计低成本板载时域试验辨识与数据处理方法：针对附加质量与二次流体阻尼难以通过经验公式准确求解的难题，依托小型实验水池开展低成本辨识试验。设计已知推进器推力阶跃激励试验与机体自由衰减试验流程，利用板载惯性测量单元（IMU）记录线加速度与角速度响应数据；针对离散微分放大高频噪声的问题，引入动量积分变换与时域低通数字滤波算法，抑制测量噪声干扰，提取各自由度的有效惯性、线性阻尼与二次非线性阻尼系数，并通过实测响应与模型预测残差对比完成动力学模型的校验。</w:t>
      </w:r>
    </w:p>
    <w:p>
      <w:pPr>
        <w:pStyle w:val="a7"/>
        <w:spacing w:line="360" w:lineRule="auto" w:beforeLines="0" w:before="0" w:afterLines="0" w:after="0"/>
        <w:ind w:firstLine="480" w:firstLineChars="200"/>
      </w:pPr>
      <w:r>
        <w:rPr>
          <w:rFonts w:ascii="Times New Roman" w:hAnsi="Times New Roman" w:cs="Times New Roman" w:eastAsia="宋体"/>
          <w:b w:val="0"/>
          <w:sz w:val="24"/>
        </w:rPr>
        <w:t>（2）基于机理动力学前馈补偿与高频状态反馈的运动控制算法设计</w:t>
      </w:r>
    </w:p>
    <w:p>
      <w:pPr>
        <w:pStyle w:val="a7"/>
        <w:spacing w:line="360" w:lineRule="auto" w:beforeLines="0" w:before="0" w:afterLines="0" w:after="0"/>
        <w:ind w:firstLine="480" w:firstLineChars="200"/>
      </w:pPr>
      <w:r>
        <w:rPr>
          <w:rFonts w:ascii="Times New Roman" w:hAnsi="Times New Roman" w:cs="Times New Roman" w:eastAsia="宋体"/>
          <w:b w:val="0"/>
          <w:sz w:val="24"/>
        </w:rPr>
        <w:t>针对水下高黏性介质引起的非线性流阻耗散与多轴交叉耦合动态，在机载微控制器有限算力约束下，构建兼顾补偿精度与低计算复杂度的闭环控制器。本部分主要研究内容包括：① 构建动力学前馈解耦补偿环节：利用辨识建立的机理动力学模型，构建具备显式解析表达式的前馈解耦补偿环节，在线实时解算非线性流体阻尼与速度耦合分量并实施前馈动态补偿，降低主导非线性阻力对系统动态的干扰，将复杂的六自由度非线性强耦合系统转化为近似线性的解耦控制通道；② 构建高频状态反馈回路与抗扰控制：在 PX4 原生分层实时控制架构下，结合机载传感器高频姿态与位置观测信息，设计高频状态反馈回路，形成“动力学模型前馈补偿 + 状态反馈”双闭环控制架构。利用反馈控制快速抑制未建模动态、水流脉动干扰及残余模型误差，提升航行器在近壁面流扰环境下的空间定点悬停稳定性与多自由度平滑机动跟踪性能。</w:t>
      </w:r>
    </w:p>
    <w:p>
      <w:pPr>
        <w:pStyle w:val="a7"/>
        <w:spacing w:line="360" w:lineRule="auto" w:beforeLines="0" w:before="0" w:afterLines="0" w:after="0"/>
        <w:ind w:firstLine="480" w:firstLineChars="200"/>
      </w:pPr>
      <w:r>
        <w:rPr>
          <w:rFonts w:ascii="Times New Roman" w:hAnsi="Times New Roman" w:cs="Times New Roman" w:eastAsia="宋体"/>
          <w:b w:val="0"/>
          <w:sz w:val="24"/>
        </w:rPr>
        <w:t>（3）空间过驱动八推进器推力分配与推力受限工况下的力矩优先控制</w:t>
      </w:r>
    </w:p>
    <w:p>
      <w:pPr>
        <w:pStyle w:val="a7"/>
        <w:spacing w:line="360" w:lineRule="auto" w:beforeLines="0" w:before="0" w:afterLines="0" w:after="0"/>
        <w:ind w:firstLine="480" w:firstLineChars="200"/>
      </w:pPr>
      <w:r>
        <w:rPr>
          <w:rFonts w:ascii="Times New Roman" w:hAnsi="Times New Roman" w:cs="Times New Roman" w:eastAsia="宋体"/>
          <w:b w:val="0"/>
          <w:sz w:val="24"/>
        </w:rPr>
        <w:t>针对空间对称与矢量倾斜布置的八推进器过驱动构型，构建连接上层期望控制指令与底层执行机构的推力分配映射与抗饱和处理机制。本部分主要研究内容包括：① 推导空间几何推力配置矩阵与解析分配：根据八台推进器的空间几何安装位置与矢量倾斜夹角，建立从六维广义期望力与力矩（三维期望力与三维期望力矩）到八台推进器轴向推力指令的代数映射关系，推导空间推力配置矩阵；以推进器控制能量消耗最小为优化目标，基于加权伪逆法求取推力分配的全局解析解，确保在微控制器上实现毫秒级快速解算；② 设计力矩优先抗饱和分配机制：针对执行大机动或遭遇强突发流扰导致推进器触及物理推力上限的问题，深入分析传统单推进器独立幅值硬截断破坏空间推力矢量配比、导致合成力矩方向偏转的失稳机理；构建具有低代数计算开销的力矩优先分配机制，在推力指令饱和超限时，按姿态角速度、偏航与平移推力的优先级自适应调节推力输出配比，对非关键平移推力分量进行等比例缩减，优先维持姿态控制力矩的方向与比例，有效抑制力矩畸变诱发的翻滚发散风险，提升极端工况下的姿态安全性。</w:t>
      </w:r>
    </w:p>
    <w:p w14:paraId="315FC749" w14:textId="77777777" w:rsidR="00C36A7B" w:rsidRPr="00C45F8C" w:rsidRDefault="00BB4B8B" w:rsidP="00BB4B8B">
      <w:pPr>
        <w:pStyle w:val="a6"/>
        <w:spacing w:before="120" w:after="120" w:line="360" w:lineRule="auto" w:beforeLines="50" w:afterLines="50"/>
        <w:ind w:firstLine="0" w:firstLineChars="0"/>
        <w:rPr>
          <w:rFonts w:ascii="黑体" w:hAnsi="黑体"/>
          <w:sz w:val="24"/>
        </w:rPr>
      </w:pPr>
      <w:r w:rsidRPr="00C45F8C">
        <w:rPr>
          <w:rFonts w:ascii="Times New Roman" w:hAnsi="Times New Roman" w:hint="eastAsia" w:cs="Times New Roman" w:eastAsia="黑体"/>
          <w:b w:val="0"/>
          <w:sz w:val="24"/>
        </w:rPr>
        <w:t>2</w:t>
      </w:r>
      <w:r w:rsidR="00C36A7B" w:rsidRPr="00C45F8C">
        <w:rPr>
          <w:rFonts w:ascii="Times New Roman" w:hAnsi="Times New Roman" w:cs="Times New Roman" w:eastAsia="黑体"/>
          <w:b w:val="0"/>
          <w:sz w:val="24"/>
        </w:rPr>
        <w:t xml:space="preserve">． </w:t>
      </w:r>
      <w:r w:rsidRPr="00C45F8C">
        <w:rPr>
          <w:rFonts w:ascii="Times New Roman" w:hAnsi="Times New Roman" w:hint="eastAsia" w:cs="Times New Roman" w:eastAsia="黑体"/>
          <w:b w:val="0"/>
          <w:sz w:val="24"/>
        </w:rPr>
        <w:t>研究方案</w:t>
      </w:r>
      <w:r w:rsidR="00914070" w:rsidRPr="00C45F8C">
        <w:rPr>
          <w:rFonts w:ascii="Times New Roman" w:hAnsi="Times New Roman" w:hint="eastAsia" w:cs="Times New Roman" w:eastAsia="黑体"/>
          <w:b w:val="0"/>
          <w:sz w:val="24"/>
        </w:rPr>
      </w:r>
    </w:p>
    <w:p>
      <w:pPr>
        <w:pStyle w:val="a7"/>
        <w:spacing w:line="360" w:lineRule="auto" w:beforeLines="50" w:before="120" w:afterLines="50" w:after="120"/>
        <w:ind w:firstLine="480" w:firstLineChars="200"/>
      </w:pPr>
      <w:r>
        <w:rPr>
          <w:rFonts w:ascii="Times New Roman" w:hAnsi="Times New Roman" w:cs="Times New Roman" w:eastAsia="宋体"/>
          <w:b w:val="0"/>
          <w:sz w:val="24"/>
        </w:rPr>
        <w:t>2.1 拟采取的研究方法</w:t>
      </w:r>
    </w:p>
    <w:p>
      <w:pPr>
        <w:pStyle w:val="a7"/>
        <w:spacing w:line="360" w:lineRule="auto" w:beforeLines="0" w:before="0" w:afterLines="0" w:after="0"/>
        <w:ind w:firstLine="480" w:firstLineChars="200"/>
      </w:pPr>
      <w:r>
        <w:rPr>
          <w:rFonts w:ascii="Times New Roman" w:hAnsi="Times New Roman" w:cs="Times New Roman" w:eastAsia="宋体"/>
          <w:b w:val="0"/>
          <w:sz w:val="24"/>
        </w:rPr>
        <w:t>围绕前述三项核心研究任务，本课题坚持理论建模、工程算法实现与消融对比验证相结合的技术路线，拟采取的具体研究方法如下：</w:t>
      </w:r>
    </w:p>
    <w:p>
      <w:pPr>
        <w:pStyle w:val="a7"/>
        <w:spacing w:line="360" w:lineRule="auto" w:beforeLines="0" w:before="0" w:afterLines="0" w:after="0"/>
        <w:ind w:firstLine="480" w:firstLineChars="200"/>
      </w:pPr>
      <w:r>
        <w:rPr>
          <w:rFonts w:ascii="Times New Roman" w:hAnsi="Times New Roman" w:cs="Times New Roman" w:eastAsia="宋体"/>
          <w:b w:val="0"/>
          <w:sz w:val="24"/>
        </w:rPr>
        <w:t>（1）动力学机理建模与时域参数滤波辨识方法</w:t>
      </w:r>
    </w:p>
    <w:p>
      <w:pPr>
        <w:pStyle w:val="a7"/>
        <w:spacing w:line="360" w:lineRule="auto" w:beforeLines="0" w:before="0" w:afterLines="0" w:after="0"/>
        <w:ind w:firstLine="480" w:firstLineChars="200"/>
      </w:pPr>
      <w:r>
        <w:rPr>
          <w:rFonts w:ascii="Times New Roman" w:hAnsi="Times New Roman" w:cs="Times New Roman" w:eastAsia="宋体"/>
          <w:b w:val="0"/>
          <w:sz w:val="24"/>
        </w:rPr>
        <w:t>针对水下航行器六自由度复杂动力学特性，采用理论机理推导与时域试验辨识相结合的技术途径：① 构建机理模型与测算几何惯性：基于牛顿-欧拉刚体动力学理论与流体势流理论，建立包含刚体质量惯性、水动力附加质量、科氏力与向心力、流体阻尼以及重浮力恢复力矩的六自由度非线性动力学方程</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。利用计算机辅助设计（CAD）三维模型精确解算机体干重、质心位置及转动惯量矩阵，并通过水下静态悬浮配平试验获取净浮力与浮心几何坐标；② 开展水池时域阶跃与衰减试验辨识：针对难以理论解析的附加质量与二次流体阻尼，借鉴板载传感器试验辨识范式</w:t>
      </w:r>
      <w:r>
        <w:rPr>
          <w:rFonts w:ascii="Times New Roman" w:hAnsi="Times New Roman" w:cs="Times New Roman" w:eastAsia="宋体"/>
          <w:b w:val="0"/>
          <w:sz w:val="24"/>
          <w:vertAlign w:val="superscript"/>
        </w:rPr>
        <w:t>[14]</w:t>
      </w:r>
      <w:r>
        <w:rPr>
          <w:rFonts w:ascii="Times New Roman" w:hAnsi="Times New Roman" w:cs="Times New Roman" w:eastAsia="宋体"/>
          <w:b w:val="0"/>
          <w:sz w:val="24"/>
        </w:rPr>
        <w:t>，在实验水池中设计阶跃推力激励与自由衰减两组标准试验工况。通过已知推力输入激发机体稳态航速以提取高雷诺数下的二次非线性阻尼，通过初始偏角释放记录自由衰减振荡过程以提取固有频率与阻尼比；③ 实施动量积分变换与抗噪参数回归：针对传感器离散数值微分引入的高频噪声放大问题，采用广义动量变换方法</w:t>
      </w:r>
      <w:r>
        <w:rPr>
          <w:rFonts w:ascii="Times New Roman" w:hAnsi="Times New Roman" w:cs="Times New Roman" w:eastAsia="宋体"/>
          <w:b w:val="0"/>
          <w:sz w:val="24"/>
          <w:vertAlign w:val="superscript"/>
        </w:rPr>
        <w:t>[18]</w:t>
      </w:r>
      <w:r>
        <w:rPr>
          <w:rFonts w:ascii="Times New Roman" w:hAnsi="Times New Roman" w:cs="Times New Roman" w:eastAsia="宋体"/>
          <w:b w:val="0"/>
          <w:sz w:val="24"/>
        </w:rPr>
        <w:t>，将动力学方程沿时间轴积分转化为时域动量方程，规避对角速度信号的直接数值求导；结合低通数字滤波与多元线性回归算法，稳健提取各自由度的有效惯性、线性阻尼与非线性阻尼参数，并利用独立测试工况的动态残差完成模型校验。</w:t>
      </w:r>
    </w:p>
    <w:p>
      <w:pPr>
        <w:pStyle w:val="a7"/>
        <w:spacing w:line="360" w:lineRule="auto" w:beforeLines="0" w:before="0" w:afterLines="0" w:after="0"/>
        <w:ind w:firstLine="480" w:firstLineChars="200"/>
      </w:pPr>
      <w:r>
        <w:rPr>
          <w:rFonts w:ascii="Times New Roman" w:hAnsi="Times New Roman" w:cs="Times New Roman" w:eastAsia="宋体"/>
          <w:b w:val="0"/>
          <w:sz w:val="24"/>
        </w:rPr>
        <w:t>（2）基于 PX4 架构的高频闭环控制与力矩优先分配实现方法</w:t>
      </w:r>
    </w:p>
    <w:p>
      <w:pPr>
        <w:pStyle w:val="a7"/>
        <w:spacing w:line="360" w:lineRule="auto" w:beforeLines="0" w:before="0" w:afterLines="0" w:after="0"/>
        <w:ind w:firstLine="480" w:firstLineChars="200"/>
      </w:pPr>
      <w:r>
        <w:rPr>
          <w:rFonts w:ascii="Times New Roman" w:hAnsi="Times New Roman" w:cs="Times New Roman" w:eastAsia="宋体"/>
          <w:b w:val="0"/>
          <w:sz w:val="24"/>
        </w:rPr>
        <w:t>针对微小型航行器计算资源受限与多推进器过驱动控制需求，依托开源飞控系统 PX4</w:t>
      </w:r>
      <w:r>
        <w:rPr>
          <w:rFonts w:ascii="Times New Roman" w:hAnsi="Times New Roman" w:cs="Times New Roman" w:eastAsia="宋体"/>
          <w:b w:val="0"/>
          <w:sz w:val="24"/>
          <w:vertAlign w:val="superscript"/>
        </w:rPr>
        <w:t>[8]</w:t>
      </w:r>
      <w:r>
        <w:rPr>
          <w:rFonts w:ascii="Times New Roman" w:hAnsi="Times New Roman" w:cs="Times New Roman" w:eastAsia="宋体"/>
          <w:b w:val="0"/>
          <w:sz w:val="24"/>
        </w:rPr>
        <w:t xml:space="preserve"> 的嵌入式实时软件架构开展算法设计与工程实现：① 集成前馈解耦补偿与高频状态反馈：利用 PX4 的模块化设计与微服务发布/订阅机制（uORB），在姿态与位置控制回路中构建具备显式解析表达式的动力学前馈补偿环节</w:t>
      </w:r>
      <w:r>
        <w:rPr>
          <w:rFonts w:ascii="Times New Roman" w:hAnsi="Times New Roman" w:cs="Times New Roman" w:eastAsia="宋体"/>
          <w:b w:val="0"/>
          <w:sz w:val="24"/>
          <w:vertAlign w:val="superscript"/>
        </w:rPr>
        <w:t>[9]</w:t>
      </w:r>
      <w:r>
        <w:rPr>
          <w:rFonts w:ascii="Times New Roman" w:hAnsi="Times New Roman" w:cs="Times New Roman" w:eastAsia="宋体"/>
          <w:b w:val="0"/>
          <w:sz w:val="24"/>
        </w:rPr>
        <w:t>。根据板载状态估计信息在线实时计算非线性流体阻尼与多轴交叉耦合分量并在前向通道实施前馈动态补偿；在此基础上，结合角速度与姿态偏差构建高频状态反馈回路，形成“动力学模型前馈补偿 + 状态反馈”双闭环控制架构，保证在百赫兹级刷新率下实现毫秒级快速解算；② 构建空间几何推力配置与力矩优先解饱和机制：基于八台推进器的空间几何矢量布置推导空间推力配置矩阵，结合控制分配理论</w:t>
      </w:r>
      <w:r>
        <w:rPr>
          <w:rFonts w:ascii="Times New Roman" w:hAnsi="Times New Roman" w:cs="Times New Roman" w:eastAsia="宋体"/>
          <w:b w:val="0"/>
          <w:sz w:val="24"/>
          <w:vertAlign w:val="superscript"/>
        </w:rPr>
        <w:t>[7]</w:t>
      </w:r>
      <w:r>
        <w:rPr>
          <w:rFonts w:ascii="Times New Roman" w:hAnsi="Times New Roman" w:cs="Times New Roman" w:eastAsia="宋体"/>
          <w:b w:val="0"/>
          <w:sz w:val="24"/>
        </w:rPr>
        <w:t>采用加权伪逆法求取最小推力能量消耗下的基准推力指令；构建力矩优先分配机制，实时监测推进器推力幅值边界，当指令触及物理饱和上限时，按照姿态角速度力矩、偏航力矩与平移推力的固定优先级，对各推进器推力指令实施自适应等比例缩放与解饱和解算，优先维持姿态控制力矩的几何方向比例，有效抑制姿态发散风险。</w:t>
      </w:r>
    </w:p>
    <w:p>
      <w:pPr>
        <w:pStyle w:val="a7"/>
        <w:spacing w:line="360" w:lineRule="auto" w:beforeLines="0" w:before="0" w:afterLines="0" w:after="0"/>
        <w:ind w:firstLine="480" w:firstLineChars="200"/>
      </w:pPr>
      <w:r>
        <w:rPr>
          <w:rFonts w:ascii="Times New Roman" w:hAnsi="Times New Roman" w:cs="Times New Roman" w:eastAsia="宋体"/>
          <w:b w:val="0"/>
          <w:sz w:val="24"/>
        </w:rPr>
        <w:t>（3）多工况消融对比与分级闭环实验评估方法</w:t>
      </w:r>
    </w:p>
    <w:p>
      <w:pPr>
        <w:pStyle w:val="a7"/>
        <w:spacing w:line="360" w:lineRule="auto" w:beforeLines="0" w:before="0" w:afterLines="0" w:after="0"/>
        <w:ind w:firstLine="480" w:firstLineChars="200"/>
      </w:pPr>
      <w:r>
        <w:rPr>
          <w:rFonts w:ascii="Times New Roman" w:hAnsi="Times New Roman" w:cs="Times New Roman" w:eastAsia="宋体"/>
          <w:b w:val="0"/>
          <w:sz w:val="24"/>
        </w:rPr>
        <w:t>为科学量化评估所提控制方法的技术增益，建立由数字仿真向物理实验递进的分级闭环验证与消融评估流程：① 开展仿真与物理分级实验设计：在软件在环（SITL）仿真环境中，搭建集成六自由度水动力学模块、传感器噪声发生器与流场扰动模块的仿真场景，设计阶跃航向跟踪、定深悬停以及空间横向流扰等多组典型工况，对前馈补偿模块与力矩优先分配机制进行参数整定与功能测试；在此基础上，在室内实验水池中开展实机闭环测试，利用板载惯导与水下测速传感器采集动态响应数据；② 确立消融基准对照与多维量化评估：借鉴水下机器人模型控制消融验证范式</w:t>
      </w:r>
      <w:r>
        <w:rPr>
          <w:rFonts w:ascii="Times New Roman" w:hAnsi="Times New Roman" w:cs="Times New Roman" w:eastAsia="宋体"/>
          <w:b w:val="0"/>
          <w:sz w:val="24"/>
          <w:vertAlign w:val="superscript"/>
        </w:rPr>
        <w:t>[9]</w:t>
      </w:r>
      <w:r>
        <w:rPr>
          <w:rFonts w:ascii="Times New Roman" w:hAnsi="Times New Roman" w:cs="Times New Roman" w:eastAsia="宋体"/>
          <w:b w:val="0"/>
          <w:sz w:val="24"/>
        </w:rPr>
        <w:t>，引入工程广泛应用的传统无模型 PID 控制策略作为基准对照组，从位姿跟踪均方根误差（RMSE）、姿态角波动峰值与方差、推进器控制能耗积分以及合成力矩分配误差等量化维度开展消融对比测试，系统评估动力学模型前馈补偿与力矩优先分配机制在复杂流扰工况下提升位姿控制精度与姿态安全性的有效性。</w:t>
      </w:r>
    </w:p>
    <w:p>
      <w:pPr>
        <w:pStyle w:val="a7"/>
        <w:spacing w:line="360" w:lineRule="auto" w:beforeLines="50" w:before="120" w:afterLines="50" w:after="120"/>
        <w:ind w:firstLine="480" w:firstLineChars="200"/>
      </w:pPr>
      <w:r>
        <w:rPr>
          <w:rFonts w:ascii="Times New Roman" w:hAnsi="Times New Roman" w:cs="Times New Roman" w:eastAsia="宋体"/>
          <w:b w:val="0"/>
          <w:sz w:val="24"/>
        </w:rPr>
        <w:t>2.2 技术路线图</w:t>
      </w:r>
    </w:p>
    <w:p>
      <w:pPr>
        <w:pStyle w:val="a7"/>
        <w:spacing w:line="360" w:lineRule="auto" w:beforeLines="0" w:before="0" w:afterLines="0" w:after="0"/>
        <w:ind w:firstLine="480" w:firstLineChars="200"/>
      </w:pPr>
      <w:r>
        <w:rPr>
          <w:rFonts w:ascii="Times New Roman" w:hAnsi="Times New Roman" w:cs="Times New Roman" w:eastAsia="宋体"/>
          <w:b w:val="0"/>
          <w:sz w:val="24"/>
        </w:rPr>
        <w:t>本课题围绕“动力学建模 → 时域参数辨识 → 动力学前馈补偿控制 → 力矩优先推力分配 → 分级消融验证”的核心主线，将理论机理推导、嵌入式工程算法实现与软硬件分级验证有机衔接，形成环环相扣的五阶段端到端技术路线。具体实施流程如下：</w:t>
      </w:r>
    </w:p>
    <w:p>
      <w:pPr>
        <w:pStyle w:val="a7"/>
        <w:spacing w:line="360" w:lineRule="auto" w:beforeLines="0" w:before="0" w:afterLines="0" w:after="0"/>
        <w:ind w:firstLine="480" w:firstLineChars="200"/>
      </w:pPr>
      <w:r>
        <w:rPr>
          <w:rFonts w:ascii="Times New Roman" w:hAnsi="Times New Roman" w:cs="Times New Roman" w:eastAsia="宋体"/>
          <w:b w:val="0"/>
          <w:sz w:val="24"/>
        </w:rPr>
        <w:t>（1）第一阶段：六自由度机理动力学建模与几何惯性测算</w:t>
      </w:r>
    </w:p>
    <w:p>
      <w:pPr>
        <w:pStyle w:val="a7"/>
        <w:spacing w:line="360" w:lineRule="auto" w:beforeLines="0" w:before="0" w:afterLines="0" w:after="0"/>
        <w:ind w:firstLine="480" w:firstLineChars="200"/>
      </w:pPr>
      <w:r>
        <w:rPr>
          <w:rFonts w:ascii="Times New Roman" w:hAnsi="Times New Roman" w:cs="Times New Roman" w:eastAsia="宋体"/>
          <w:b w:val="0"/>
          <w:sz w:val="24"/>
        </w:rPr>
        <w:t>基于牛顿-欧拉方程与流体势流理论，推导航行器在附体坐标系下的六自由度非线性动力学状态方程，明确刚体惯性、水动力附加质量、流体阻尼及恢复力矩的数学形式；结合航行器计算机辅助设计（CAD）三维几何模型测算干重、质心位置及转动惯量矩阵，并通过水下静态配平试验测定浮心坐标与净浮力，为动力学仿真与前馈补偿提供结构基准。</w:t>
      </w:r>
    </w:p>
    <w:p>
      <w:pPr>
        <w:pStyle w:val="a7"/>
        <w:spacing w:line="360" w:lineRule="auto" w:beforeLines="0" w:before="0" w:afterLines="0" w:after="0"/>
        <w:ind w:firstLine="480" w:firstLineChars="200"/>
      </w:pPr>
      <w:r>
        <w:rPr>
          <w:rFonts w:ascii="Times New Roman" w:hAnsi="Times New Roman" w:cs="Times New Roman" w:eastAsia="宋体"/>
          <w:b w:val="0"/>
          <w:sz w:val="24"/>
        </w:rPr>
        <w:t>（2）第二阶段：水池时域试验与动量滤波抗噪参数辨识</w:t>
      </w:r>
    </w:p>
    <w:p>
      <w:pPr>
        <w:pStyle w:val="a7"/>
        <w:spacing w:line="360" w:lineRule="auto" w:beforeLines="0" w:before="0" w:afterLines="0" w:after="0"/>
        <w:ind w:firstLine="480" w:firstLineChars="200"/>
      </w:pPr>
      <w:r>
        <w:rPr>
          <w:rFonts w:ascii="Times New Roman" w:hAnsi="Times New Roman" w:cs="Times New Roman" w:eastAsia="宋体"/>
          <w:b w:val="0"/>
          <w:sz w:val="24"/>
        </w:rPr>
        <w:t>在室内实验水池中设计已知推进器推力的阶跃激励试验与自由衰减试验工况，利用机载惯导与测速传感器记录时域动态响应数据；引入广义动量变换方法规避传感器高频数值微分噪声，结合数字低通滤波与多元线性回归算法，稳健提取六自由度的有效惯性、线性阻尼与二次非线性阻尼系数；利用独立测试工况的实测响应与模型预测残差对比，完成水动力模型的标定与校核。</w:t>
      </w:r>
    </w:p>
    <w:p>
      <w:pPr>
        <w:pStyle w:val="a7"/>
        <w:spacing w:line="360" w:lineRule="auto" w:beforeLines="0" w:before="0" w:afterLines="0" w:after="0"/>
        <w:ind w:firstLine="480" w:firstLineChars="200"/>
      </w:pPr>
      <w:r>
        <w:rPr>
          <w:rFonts w:ascii="Times New Roman" w:hAnsi="Times New Roman" w:cs="Times New Roman" w:eastAsia="宋体"/>
          <w:b w:val="0"/>
          <w:sz w:val="24"/>
        </w:rPr>
        <w:t>（3）第三阶段：基于 PX4 架构的动力学模型前馈补偿与状态反馈控制器构建</w:t>
      </w:r>
    </w:p>
    <w:p>
      <w:pPr>
        <w:pStyle w:val="a7"/>
        <w:spacing w:line="360" w:lineRule="auto" w:beforeLines="0" w:before="0" w:afterLines="0" w:after="0"/>
        <w:ind w:firstLine="480" w:firstLineChars="200"/>
      </w:pPr>
      <w:r>
        <w:rPr>
          <w:rFonts w:ascii="Times New Roman" w:hAnsi="Times New Roman" w:cs="Times New Roman" w:eastAsia="宋体"/>
          <w:b w:val="0"/>
          <w:sz w:val="24"/>
        </w:rPr>
        <w:t>将辨识校准的动力学方程嵌入开源飞控系统 PX4 的嵌入式实时框架中，构建具备显式解析表达式的动力学前馈补偿环节，在线实时解算并补偿二次非线性阻尼与速度交叉耦合动态；在此基础上，结合机载高频传感器反馈信息构建姿态与位置状态反馈回路，形成“动力学模型前馈补偿 + 状态反馈”双闭环控制架构，实现六维广义期望控制力与力矩的毫秒级高频解算。</w:t>
      </w:r>
    </w:p>
    <w:p>
      <w:pPr>
        <w:pStyle w:val="a7"/>
        <w:spacing w:line="360" w:lineRule="auto" w:beforeLines="0" w:before="0" w:afterLines="0" w:after="0"/>
        <w:ind w:firstLine="480" w:firstLineChars="200"/>
      </w:pPr>
      <w:r>
        <w:rPr>
          <w:rFonts w:ascii="Times New Roman" w:hAnsi="Times New Roman" w:cs="Times New Roman" w:eastAsia="宋体"/>
          <w:b w:val="0"/>
          <w:sz w:val="24"/>
        </w:rPr>
        <w:t>（4）第四阶段：八推进器空间几何分配与力矩优先抗饱和机制设计</w:t>
      </w:r>
    </w:p>
    <w:p>
      <w:pPr>
        <w:pStyle w:val="a7"/>
        <w:spacing w:line="360" w:lineRule="auto" w:beforeLines="0" w:before="0" w:afterLines="0" w:after="0"/>
        <w:ind w:firstLine="480" w:firstLineChars="200"/>
      </w:pPr>
      <w:r>
        <w:rPr>
          <w:rFonts w:ascii="Times New Roman" w:hAnsi="Times New Roman" w:cs="Times New Roman" w:eastAsia="宋体"/>
          <w:b w:val="0"/>
          <w:sz w:val="24"/>
        </w:rPr>
        <w:t>根据八台推进器的空间几何安装坐标与矢量倾角推导空间推力配置矩阵，基于加权伪逆法求取最小能耗下的基准分配指令；设计低代数计算开销的力矩优先分配算法，在推进器触及物理推力饱和上限时，按姿态角速度、偏航与平移的固定优先级自适应调配各推进器推力配比，对非关键平移推力分量进行等比例缩减，优先维持姿态控制力矩的几何方向比例，防止翻滚失稳。</w:t>
      </w:r>
    </w:p>
    <w:p>
      <w:pPr>
        <w:pStyle w:val="a7"/>
        <w:spacing w:line="360" w:lineRule="auto" w:beforeLines="0" w:before="0" w:afterLines="0" w:after="0"/>
        <w:ind w:firstLine="480" w:firstLineChars="200"/>
      </w:pPr>
      <w:r>
        <w:rPr>
          <w:rFonts w:ascii="Times New Roman" w:hAnsi="Times New Roman" w:cs="Times New Roman" w:eastAsia="宋体"/>
          <w:b w:val="0"/>
          <w:sz w:val="24"/>
        </w:rPr>
        <w:t>（5）第五阶段：SITL 软件在环仿真与水池物理实验分级消融验证</w:t>
      </w:r>
    </w:p>
    <w:p>
      <w:pPr>
        <w:pStyle w:val="a7"/>
        <w:spacing w:line="360" w:lineRule="auto" w:beforeLines="0" w:before="0" w:afterLines="0" w:after="0"/>
        <w:ind w:firstLine="480" w:firstLineChars="200"/>
      </w:pPr>
      <w:r>
        <w:rPr>
          <w:rFonts w:ascii="Times New Roman" w:hAnsi="Times New Roman" w:cs="Times New Roman" w:eastAsia="宋体"/>
          <w:b w:val="0"/>
          <w:sz w:val="24"/>
        </w:rPr>
        <w:t>搭建集成六自由度水动力学环境的 PX4 SITL 软件在环仿真平台，在无实机风险前提下完成控制算法各功能模块的参数整定与工况初验；随后将算法移植至物理实验样机，在室内水池中开展实机闭环测试。以传统无模型 PID 控制策略为基准对照组，从位姿跟踪均方根误差（RMSE）、姿态角波动峰值与方差、推进器控制能耗积分以及合成力矩分配误差等量化维度开展消融对比分析，全面验证引入动力学模型前馈补偿与力矩优先分配机制对控制性能与安全性的提升效果。</w:t>
      </w:r>
    </w:p>
    <w:p>
      <w:pPr>
        <w:pStyle w:val="a7"/>
        <w:spacing w:line="360" w:lineRule="auto" w:beforeLines="0" w:before="0" w:afterLines="0" w:after="0"/>
        <w:ind w:firstLine="480" w:firstLineChars="200"/>
      </w:pPr>
      <w:r>
        <w:rPr>
          <w:rFonts w:ascii="Times New Roman" w:hAnsi="Times New Roman" w:cs="Times New Roman" w:eastAsia="宋体"/>
          <w:b w:val="0"/>
          <w:sz w:val="24"/>
        </w:rPr>
        <w:t>课题总体技术路线如图 1 所示：</w:t>
      </w:r>
    </w:p>
    <w:p>
      <w:pPr>
        <w:keepNext/>
        <w:jc w:val="center"/>
        <w:spacing w:line="240" w:lineRule="auto" w:before="120" w:after="40"/>
      </w:pPr>
      <w:r>
        <w:drawing>
          <wp:inline xmlns:a="http://schemas.openxmlformats.org/drawingml/2006/main" xmlns:pic="http://schemas.openxmlformats.org/drawingml/2006/picture">
            <wp:extent cx="5220000" cy="3684706"/>
            <wp:docPr id="1" name="Picture 1"/>
            <wp:cNvGraphicFramePr>
              <a:graphicFrameLocks noChangeAspect="1"/>
            </wp:cNvGraphicFramePr>
            <a:graphic>
              <a:graphicData uri="http://schemas.openxmlformats.org/drawingml/2006/picture">
                <pic:pic>
                  <pic:nvPicPr>
                    <pic:cNvPr id="0" name="fig_technical_roadmap.png"/>
                    <pic:cNvPicPr/>
                  </pic:nvPicPr>
                  <pic:blipFill>
                    <a:blip r:embed="rId10"/>
                    <a:stretch>
                      <a:fillRect/>
                    </a:stretch>
                  </pic:blipFill>
                  <pic:spPr>
                    <a:xfrm>
                      <a:off x="0" y="0"/>
                      <a:ext cx="5220000" cy="3684706"/>
                    </a:xfrm>
                    <a:prstGeom prst="rect"/>
                  </pic:spPr>
                </pic:pic>
              </a:graphicData>
            </a:graphic>
          </wp:inline>
        </w:drawing>
      </w:r>
    </w:p>
    <w:p>
      <w:pPr>
        <w:jc w:val="center"/>
        <w:spacing w:line="360" w:lineRule="auto" w:before="40" w:after="120"/>
        <w:ind w:firstLine="0" w:firstLineChars="0"/>
      </w:pPr>
      <w:r>
        <w:rPr>
          <w:rFonts w:ascii="Times New Roman" w:hAnsi="Times New Roman" w:cs="Times New Roman" w:eastAsia="宋体"/>
          <w:b w:val="0"/>
          <w:sz w:val="21"/>
        </w:rPr>
        <w:t>图 1 课题总体研究技术路线流程图</w:t>
      </w:r>
    </w:p>
    <w:p>
      <w:pPr>
        <w:pStyle w:val="a7"/>
        <w:spacing w:line="360" w:lineRule="auto" w:beforeLines="50" w:before="120" w:afterLines="50" w:after="120"/>
        <w:ind w:firstLine="480" w:firstLineChars="200"/>
      </w:pPr>
      <w:r>
        <w:rPr>
          <w:rFonts w:ascii="Times New Roman" w:hAnsi="Times New Roman" w:cs="Times New Roman" w:eastAsia="宋体"/>
          <w:b w:val="0"/>
          <w:sz w:val="24"/>
        </w:rPr>
        <w:t>2.3 可行性分析</w:t>
      </w:r>
    </w:p>
    <w:p>
      <w:pPr>
        <w:pStyle w:val="a7"/>
        <w:spacing w:line="360" w:lineRule="auto" w:beforeLines="0" w:before="0" w:afterLines="0" w:after="0"/>
        <w:ind w:firstLine="480" w:firstLineChars="200"/>
      </w:pPr>
      <w:r>
        <w:rPr>
          <w:rFonts w:ascii="Times New Roman" w:hAnsi="Times New Roman" w:cs="Times New Roman" w:eastAsia="宋体"/>
          <w:b w:val="0"/>
          <w:sz w:val="24"/>
        </w:rPr>
        <w:t>本课题所规划的研究内容与技术路线具有坚实的理论支撑、成熟的软件仿真工具链以及完备的物理实验条件，具体可行性论证如下：</w:t>
      </w:r>
    </w:p>
    <w:p>
      <w:pPr>
        <w:pStyle w:val="a7"/>
        <w:spacing w:line="360" w:lineRule="auto" w:beforeLines="0" w:before="0" w:afterLines="0" w:after="0"/>
        <w:ind w:firstLine="480" w:firstLineChars="200"/>
      </w:pPr>
      <w:r>
        <w:rPr>
          <w:rFonts w:ascii="Times New Roman" w:hAnsi="Times New Roman" w:cs="Times New Roman" w:eastAsia="宋体"/>
          <w:b w:val="0"/>
          <w:sz w:val="24"/>
        </w:rPr>
        <w:t>（1）理论基础可行性</w:t>
      </w:r>
    </w:p>
    <w:p>
      <w:pPr>
        <w:pStyle w:val="a7"/>
        <w:spacing w:line="360" w:lineRule="auto" w:beforeLines="0" w:before="0" w:afterLines="0" w:after="0"/>
        <w:ind w:firstLine="480" w:firstLineChars="200"/>
      </w:pPr>
      <w:r>
        <w:rPr>
          <w:rFonts w:ascii="Times New Roman" w:hAnsi="Times New Roman" w:cs="Times New Roman" w:eastAsia="宋体"/>
          <w:b w:val="0"/>
          <w:sz w:val="24"/>
        </w:rPr>
        <w:t>本课题所采用的建模、控制与分配理论均为海洋工程与机器人控制领域公认的成熟理论体系：① 动力学建模与辨识理论成熟：课题遵循的六自由度动力学建模方法源自国际著名海洋控制学者 Fossen 构建的经典机理体系</w:t>
      </w:r>
      <w:r>
        <w:rPr>
          <w:rFonts w:ascii="Times New Roman" w:hAnsi="Times New Roman" w:cs="Times New Roman" w:eastAsia="宋体"/>
          <w:b w:val="0"/>
          <w:sz w:val="24"/>
          <w:vertAlign w:val="superscript"/>
        </w:rPr>
        <w:t>[3]</w:t>
      </w:r>
      <w:r>
        <w:rPr>
          <w:rFonts w:ascii="Times New Roman" w:hAnsi="Times New Roman" w:cs="Times New Roman" w:eastAsia="宋体"/>
          <w:b w:val="0"/>
          <w:sz w:val="24"/>
        </w:rPr>
        <w:t>，物理概念清晰且代数表达严密自洽；时域阶跃与衰减试验辨识方法借鉴了 Caccia 等人建立的经典板载试验范式</w:t>
      </w:r>
      <w:r>
        <w:rPr>
          <w:rFonts w:ascii="Times New Roman" w:hAnsi="Times New Roman" w:cs="Times New Roman" w:eastAsia="宋体"/>
          <w:b w:val="0"/>
          <w:sz w:val="24"/>
          <w:vertAlign w:val="superscript"/>
        </w:rPr>
        <w:t>[14]</w:t>
      </w:r>
      <w:r>
        <w:rPr>
          <w:rFonts w:ascii="Times New Roman" w:hAnsi="Times New Roman" w:cs="Times New Roman" w:eastAsia="宋体"/>
          <w:b w:val="0"/>
          <w:sz w:val="24"/>
        </w:rPr>
        <w:t>，结合广义动量变换</w:t>
      </w:r>
      <w:r>
        <w:rPr>
          <w:rFonts w:ascii="Times New Roman" w:hAnsi="Times New Roman" w:cs="Times New Roman" w:eastAsia="宋体"/>
          <w:b w:val="0"/>
          <w:sz w:val="24"/>
          <w:vertAlign w:val="superscript"/>
        </w:rPr>
        <w:t>[18]</w:t>
      </w:r>
      <w:r>
        <w:rPr>
          <w:rFonts w:ascii="Times New Roman" w:hAnsi="Times New Roman" w:cs="Times New Roman" w:eastAsia="宋体"/>
          <w:b w:val="0"/>
          <w:sz w:val="24"/>
        </w:rPr>
        <w:t>抑制高频数值微分噪声，参数拟合过程具备坚实的数学与试验依据；② 控制与推力分配方法物理自洽：动力学模型前馈补偿策略对标 Smallwood 等人在水下机器人实机测试中验证的消融范式</w:t>
      </w:r>
      <w:r>
        <w:rPr>
          <w:rFonts w:ascii="Times New Roman" w:hAnsi="Times New Roman" w:cs="Times New Roman" w:eastAsia="宋体"/>
          <w:b w:val="0"/>
          <w:sz w:val="24"/>
          <w:vertAlign w:val="superscript"/>
        </w:rPr>
        <w:t>[9]</w:t>
      </w:r>
      <w:r>
        <w:rPr>
          <w:rFonts w:ascii="Times New Roman" w:hAnsi="Times New Roman" w:cs="Times New Roman" w:eastAsia="宋体"/>
          <w:b w:val="0"/>
          <w:sz w:val="24"/>
        </w:rPr>
        <w:t>，利用具备显式解析表达式的前馈环节补偿主导阻尼耗散，在数学原理上能够有效降低动态耦合；八推进器力矩优先推力分配机制基于 Johansen 与 Fossen 的控制分配理论</w:t>
      </w:r>
      <w:r>
        <w:rPr>
          <w:rFonts w:ascii="Times New Roman" w:hAnsi="Times New Roman" w:cs="Times New Roman" w:eastAsia="宋体"/>
          <w:b w:val="0"/>
          <w:sz w:val="24"/>
          <w:vertAlign w:val="superscript"/>
        </w:rPr>
        <w:t>[7]</w:t>
      </w:r>
      <w:r>
        <w:rPr>
          <w:rFonts w:ascii="Times New Roman" w:hAnsi="Times New Roman" w:cs="Times New Roman" w:eastAsia="宋体"/>
          <w:b w:val="0"/>
          <w:sz w:val="24"/>
        </w:rPr>
        <w:t>，通过显式加权伪逆结合力矩优先级等比例降阶逻辑，从代数几何机理上有效抑制了传统独立硬截断诱发的力矩方向畸变，理论推导严谨闭环。</w:t>
      </w:r>
    </w:p>
    <w:p>
      <w:pPr>
        <w:pStyle w:val="a7"/>
        <w:spacing w:line="360" w:lineRule="auto" w:beforeLines="0" w:before="0" w:afterLines="0" w:after="0"/>
        <w:ind w:firstLine="480" w:firstLineChars="200"/>
      </w:pPr>
      <w:r>
        <w:rPr>
          <w:rFonts w:ascii="Times New Roman" w:hAnsi="Times New Roman" w:cs="Times New Roman" w:eastAsia="宋体"/>
          <w:b w:val="0"/>
          <w:sz w:val="24"/>
        </w:rPr>
        <w:t>（2）软件与仿真生态可行性</w:t>
      </w:r>
    </w:p>
    <w:p>
      <w:pPr>
        <w:pStyle w:val="a7"/>
        <w:spacing w:line="360" w:lineRule="auto" w:beforeLines="0" w:before="0" w:afterLines="0" w:after="0"/>
        <w:ind w:firstLine="480" w:firstLineChars="200"/>
      </w:pPr>
      <w:r>
        <w:rPr>
          <w:rFonts w:ascii="Times New Roman" w:hAnsi="Times New Roman" w:cs="Times New Roman" w:eastAsia="宋体"/>
          <w:b w:val="0"/>
          <w:sz w:val="24"/>
        </w:rPr>
        <w:t>课题所选用的软件开发基座与仿真验证工具链具备极高的工程成熟度与工具链完备性：① 开源飞控系统 PX4 架构稳定成熟：PX4</w:t>
      </w:r>
      <w:r>
        <w:rPr>
          <w:rFonts w:ascii="Times New Roman" w:hAnsi="Times New Roman" w:cs="Times New Roman" w:eastAsia="宋体"/>
          <w:b w:val="0"/>
          <w:sz w:val="24"/>
          <w:vertAlign w:val="superscript"/>
        </w:rPr>
        <w:t>[8]</w:t>
      </w:r>
      <w:r>
        <w:rPr>
          <w:rFonts w:ascii="Times New Roman" w:hAnsi="Times New Roman" w:cs="Times New Roman" w:eastAsia="宋体"/>
          <w:b w:val="0"/>
          <w:sz w:val="24"/>
        </w:rPr>
        <w:t xml:space="preserve"> 作为全球广泛应用的开源机器人飞控平台，具备微秒级硬实时的微内核操作系统（NuttX）与高效的微服务发布/订阅机制（uORB）。其模块化的控制分配与多任务调度框架经过了广泛的工程应用检验，代码开源透明且二次开发文档健全，为动力学前馈环节与力矩优先分配算法的底层嵌入提供了稳定可靠的软件载体；② 软件在环（SITL）仿真环境高度完备：PX4 原生支持高保真软件在环仿真，能够与具备流体动力学插件的物理仿真引擎无缝集成，高精度模拟水下附加质量、流体阻尼以及多推进器推力响应。算法在烧录实机前，可在无硬件损毁风险的仿真环境中完成全工况测试与参数整定，有效降低了实机调试风险并缩短了迭代周期。</w:t>
      </w:r>
    </w:p>
    <w:p>
      <w:pPr>
        <w:pStyle w:val="a7"/>
        <w:spacing w:line="360" w:lineRule="auto" w:beforeLines="0" w:before="0" w:afterLines="0" w:after="0"/>
        <w:ind w:firstLine="480" w:firstLineChars="200"/>
      </w:pPr>
      <w:r>
        <w:rPr>
          <w:rFonts w:ascii="Times New Roman" w:hAnsi="Times New Roman" w:cs="Times New Roman" w:eastAsia="宋体"/>
          <w:b w:val="0"/>
          <w:sz w:val="24"/>
        </w:rPr>
        <w:t>（3）硬件与实验条件可行性</w:t>
      </w:r>
    </w:p>
    <w:p>
      <w:pPr>
        <w:pStyle w:val="a7"/>
        <w:spacing w:line="360" w:lineRule="auto" w:beforeLines="0" w:before="0" w:afterLines="0" w:after="0"/>
        <w:ind w:firstLine="480" w:firstLineChars="200"/>
      </w:pPr>
      <w:r>
        <w:rPr>
          <w:rFonts w:ascii="Times New Roman" w:hAnsi="Times New Roman" w:cs="Times New Roman" w:eastAsia="宋体"/>
          <w:b w:val="0"/>
          <w:sz w:val="24"/>
        </w:rPr>
        <w:t>课题依托的实验环境具备开展全流程闭环验证的充分软硬件支撑：① 物理实验样机平台完备：实验室已具备结构完整、功能健全的八推进器便携式水下航行器物理样机，搭载工业级微控制器飞控硬件、高频惯性测量单元（IMU）、多普勒测速仪（DVL）及动力推进系统，板载供电、通信与底层驱动链路均已打通并稳定运行；课题团队前期在微小型紧凑水下机器人上开展了系统的 IMU-DVL 时空联合标定</w:t>
      </w:r>
      <w:r>
        <w:rPr>
          <w:rFonts w:ascii="Times New Roman" w:hAnsi="Times New Roman" w:cs="Times New Roman" w:eastAsia="宋体"/>
          <w:b w:val="0"/>
          <w:sz w:val="24"/>
          <w:vertAlign w:val="superscript"/>
        </w:rPr>
        <w:t>[44]</w:t>
      </w:r>
      <w:r>
        <w:rPr>
          <w:rFonts w:ascii="Times New Roman" w:hAnsi="Times New Roman" w:cs="Times New Roman" w:eastAsia="宋体"/>
          <w:b w:val="0"/>
          <w:sz w:val="24"/>
        </w:rPr>
        <w:t>与水下多模态感知基准测试（AquaticVision）</w:t>
      </w:r>
      <w:r>
        <w:rPr>
          <w:rFonts w:ascii="Times New Roman" w:hAnsi="Times New Roman" w:cs="Times New Roman" w:eastAsia="宋体"/>
          <w:b w:val="0"/>
          <w:sz w:val="24"/>
          <w:vertAlign w:val="superscript"/>
        </w:rPr>
        <w:t>[45]</w:t>
      </w:r>
      <w:r>
        <w:rPr>
          <w:rFonts w:ascii="Times New Roman" w:hAnsi="Times New Roman" w:cs="Times New Roman" w:eastAsia="宋体"/>
          <w:b w:val="0"/>
          <w:sz w:val="24"/>
        </w:rPr>
        <w:t>，积累了丰富的水池实机调试与传感器在环运行经验，为本课题的参数辨识与闭环控制算法验证提供了可靠的物理载体与数据支撑；② 室内实验水池与数字模型齐全：研究团队具备室内专业实验水池与高精度三维计算机辅助设计（CAD）数字化装配模型，能够快速精确计算航行器干重、质心位置及转动惯量矩阵，并满足静水配平、阶跃推力测试、自由衰减试验以及定点悬停抗扰对比测试的各项实验条件需求，确保后续实测数据采集与消融对比验证工作的顺利推进。</w:t>
      </w:r>
    </w:p>
    <w:p w14:paraId="6D664144" w14:textId="77777777" w:rsidR="00676ECD" w:rsidRPr="00C45F8C" w:rsidRDefault="00BB4B8B" w:rsidP="000B4F99">
      <w:pPr>
        <w:pStyle w:val="a6"/>
        <w:spacing w:before="120" w:after="120" w:line="360" w:lineRule="auto" w:beforeLines="50" w:afterLines="50"/>
        <w:ind w:firstLine="0" w:firstLineChars="0"/>
        <w:rPr>
          <w:rFonts w:ascii="黑体" w:hAnsi="黑体" w:hint="eastAsia"/>
          <w:sz w:val="24"/>
        </w:rPr>
      </w:pPr>
      <w:r w:rsidRPr="00C45F8C">
        <w:rPr>
          <w:rFonts w:ascii="Times New Roman" w:hAnsi="Times New Roman" w:hint="eastAsia" w:cs="Times New Roman" w:eastAsia="黑体"/>
          <w:b w:val="0"/>
          <w:sz w:val="24"/>
        </w:rPr>
        <w:t>3</w:t>
      </w:r>
      <w:r w:rsidR="00C36A7B" w:rsidRPr="00C45F8C">
        <w:rPr>
          <w:rFonts w:ascii="Times New Roman" w:hAnsi="Times New Roman" w:cs="Times New Roman" w:eastAsia="黑体"/>
          <w:b w:val="0"/>
          <w:sz w:val="24"/>
        </w:rPr>
        <w:t xml:space="preserve">． </w:t>
      </w:r>
      <w:r w:rsidR="00C36A7B" w:rsidRPr="00C45F8C">
        <w:rPr>
          <w:rFonts w:ascii="Times New Roman" w:hAnsi="Times New Roman" w:hint="eastAsia" w:cs="Times New Roman" w:eastAsia="黑体"/>
          <w:b w:val="0"/>
          <w:sz w:val="24"/>
        </w:rPr>
        <w:t>工作</w:t>
      </w:r>
      <w:r w:rsidR="009672BC" w:rsidRPr="00C45F8C">
        <w:rPr>
          <w:rFonts w:ascii="Times New Roman" w:hAnsi="Times New Roman" w:cs="Times New Roman" w:eastAsia="黑体"/>
          <w:b w:val="0"/>
          <w:sz w:val="24"/>
        </w:rPr>
        <w:t>进度安排</w:t>
      </w:r>
    </w:p>
    <w:p>
      <w:pPr>
        <w:pStyle w:val="a7"/>
        <w:spacing w:line="360" w:lineRule="auto" w:beforeLines="0" w:before="0" w:afterLines="0" w:after="0"/>
        <w:ind w:firstLine="480" w:firstLineChars="200"/>
      </w:pPr>
      <w:r>
        <w:rPr>
          <w:rFonts w:ascii="Times New Roman" w:hAnsi="Times New Roman" w:cs="Times New Roman" w:eastAsia="宋体"/>
          <w:b w:val="0"/>
          <w:sz w:val="24"/>
        </w:rPr>
        <w:t>为保证毕业论文研究工作的高质量推进与按期交付，结合同济大学本科毕业论文教学周历与关键评审节点要求，本课题将全周期研究划分为五个主要阶段，具体进度规划如下：</w:t>
      </w:r>
    </w:p>
    <w:p>
      <w:pPr>
        <w:pStyle w:val="a7"/>
        <w:spacing w:line="360" w:lineRule="auto" w:beforeLines="50" w:before="120" w:afterLines="50" w:after="120"/>
        <w:ind w:firstLine="480" w:firstLineChars="200"/>
      </w:pPr>
      <w:r>
        <w:rPr>
          <w:rFonts w:ascii="Times New Roman" w:hAnsi="Times New Roman" w:cs="Times New Roman" w:eastAsia="宋体"/>
          <w:b w:val="0"/>
          <w:sz w:val="24"/>
        </w:rPr>
        <w:t>（1）阶段性任务规划简述</w:t>
      </w:r>
    </w:p>
    <w:p>
      <w:pPr>
        <w:pStyle w:val="a7"/>
        <w:spacing w:line="360" w:lineRule="auto" w:beforeLines="0" w:before="0" w:afterLines="0" w:after="0"/>
        <w:ind w:firstLine="480" w:firstLineChars="200"/>
      </w:pPr>
      <w:r>
        <w:rPr>
          <w:rFonts w:ascii="Times New Roman" w:hAnsi="Times New Roman" w:cs="Times New Roman" w:eastAsia="宋体"/>
          <w:b w:val="0"/>
          <w:sz w:val="24"/>
        </w:rPr>
        <w:t>阶段一（2026.09 ~ 2026.10，第 1 ~ 4 周）：完成文献资料研读与国内外研究现状梳理，明确研究任务边界与技术路线，撰写开题报告并完成开题答辩；阶段二（2026.10 ~ 2026.11，第 5 ~ 10 周）：完成水下航行器六自由度机理动力学方程推导与推进器几何配置分析，基于三维 CAD 装配体计算惯性参数，搭建 PX4/SITL 水动力学仿真基础环境；阶段三（2026.11 ~ 2027.01，第 11 ~ 18 周）：开展实验水池推进器阶跃与自由衰减时域辨识试验，运用动量积分变换与低通滤波提取水动力参数并校验模型残差，完成中期检查与中期答辩汇报；阶段四（2027.02 ~ 2027.04，第 1 ~ 6 周）：在 PX4 架构下开发动力学模型前馈补偿环节与力矩优先推力分配机制，开展 SITL 仿真测试与水池实机消融对比实验，采集并处理多维评估数据；阶段五（2027.04 ~ 2027.05，第 7 ~ 12 周）：系统整理实验数据与图表成果，撰写毕业论文正文初稿，完成学术查重、导师评阅、专家评阅盲审、修改定稿、毕业答辩及全套资料归档。</w:t>
      </w:r>
    </w:p>
    <w:p>
      <w:pPr>
        <w:jc w:val="center"/>
        <w:spacing w:line="360" w:lineRule="auto" w:beforeLines="50" w:before="120" w:afterLines="20" w:after="48"/>
        <w:ind w:firstLine="0" w:firstLineChars="0"/>
      </w:pPr>
      <w:r>
        <w:rPr>
          <w:rFonts w:ascii="Times New Roman" w:hAnsi="Times New Roman" w:cs="Times New Roman" w:eastAsia="宋体"/>
          <w:b w:val="0"/>
          <w:sz w:val="21"/>
        </w:rPr>
        <w:t>表 1 课题进度安排与阶段成果表</w:t>
      </w:r>
    </w:p>
    <w:tbl>
      <w:tblPr>
        <w:tblW w:type="auto" w:w="0"/>
        <w:jc w:val="center"/>
        <w:tblLook w:firstColumn="1" w:firstRow="1" w:lastColumn="0" w:lastRow="0" w:noHBand="0" w:noVBand="1" w:val="04A0"/>
        <w:tblBorders>
          <w:top w:val="single" w:sz="12" w:space="0" w:color="000000"/>
          <w:bottom w:val="single" w:sz="12" w:space="0" w:color="000000"/>
          <w:left w:val="none"/>
          <w:right w:val="none"/>
          <w:insideV w:val="none"/>
          <w:insideH w:val="none"/>
        </w:tblBorders>
      </w:tblPr>
      <w:tblGrid>
        <w:gridCol w:w="2078"/>
        <w:gridCol w:w="2078"/>
        <w:gridCol w:w="2078"/>
        <w:gridCol w:w="2078"/>
      </w:tblGrid>
      <w:tr>
        <w:trPr>
          <w:tblHeader/>
          <w:cantSplit/>
        </w:trPr>
        <w:tc>
          <w:tcPr>
            <w:tcW w:type="dxa" w:w="1020"/>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阶段序号</w:t>
            </w:r>
          </w:p>
        </w:tc>
        <w:tc>
          <w:tcPr>
            <w:tcW w:type="dxa" w:w="204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起止时间（教学周）</w:t>
            </w:r>
          </w:p>
        </w:tc>
        <w:tc>
          <w:tcPr>
            <w:tcW w:type="dxa" w:w="2835"/>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主要研究工作内容</w:t>
            </w:r>
          </w:p>
        </w:tc>
        <w:tc>
          <w:tcPr>
            <w:tcW w:type="dxa" w:w="2721"/>
            <w:tcBorders>
              <w:bottom w:val="single" w:sz="6" w:space="0" w:color="000000"/>
            </w:tcBorders>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21"/>
              </w:rPr>
              <w:t>拟达成的阶段性成果与交付物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阶段一</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2026.09.16 ~ 2026.10.09</w:t>
              <w:br/>
              <w:t>（第 1 ~ 4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查阅国内外经典文献与行业标准，比选技术路线与方案，完成开题报告撰写与论证</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提交开题报告正式文本，完成开题答辩 PPT 汇报并通过开题答辩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阶段二</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2026.10.12 ~ 2026.11.20</w:t>
              <w:br/>
              <w:t>（第 5 ~ 10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建立六自由度机理动力学方程，计算刚体质量惯性参数，配置 PX4/SITL 水动力仿真环境</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完成动力学模型方程推导，建立参数化的 SITL 仿真工程基座</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阶段三</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2026.11.23 ~ 2027.01.15</w:t>
              <w:br/>
              <w:t>（第 11 ~ 18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设计水池阶跃与衰减试验工况，采集板载响应数据，利用动量滤波回归提取参数并校验残差；总结阶段性进展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提取水动力阻尼与有效惯性参数，完成模型残差校验；提交中期报告并通过中期答辩</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阶段四</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2027.02.22 ~ 2027.04.02</w:t>
              <w:br/>
              <w:t>（第 1 ~ 6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在 PX4 底层嵌入动力学模型前馈补偿算法，构建力矩优先分配机制，开展 SITL 与水池实机消融对比测试</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完成控制与分配算法工程代码开发，获取消融对比测试曲线与评估数据指标</w:t>
            </w:r>
          </w:p>
        </w:tc>
      </w:tr>
      <w:tr>
        <w:trPr>
          <w:cantSplit/>
        </w:trPr>
        <w:tc>
          <w:tcPr>
            <w:tcW w:type="dxa" w:w="1020"/>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阶段五</w:t>
            </w:r>
          </w:p>
        </w:tc>
        <w:tc>
          <w:tcPr>
            <w:tcW w:type="dxa" w:w="2041"/>
            <w:vAlign w:val="center"/>
            <w:tcMar>
              <w:top w:w="100" w:type="dxa"/>
              <w:bottom w:w="100" w:type="dxa"/>
              <w:left w:w="120" w:type="dxa"/>
              <w:right w:w="120" w:type="dxa"/>
            </w:tcMar>
          </w:tcPr>
          <w:p>
            <w:pPr>
              <w:spacing w:line="288" w:lineRule="auto" w:before="40" w:after="40"/>
              <w:jc w:val="center"/>
            </w:pPr>
            <w:r/>
            <w:r>
              <w:rPr>
                <w:rFonts w:ascii="Times New Roman" w:hAnsi="Times New Roman" w:cs="Times New Roman" w:eastAsia="宋体"/>
                <w:b w:val="0"/>
                <w:sz w:val="19"/>
              </w:rPr>
              <w:t>2027.04.05 ~ 2027.05.14</w:t>
              <w:br/>
              <w:t>（第 7 ~ 12 周）</w:t>
            </w:r>
          </w:p>
        </w:tc>
        <w:tc>
          <w:tcPr>
            <w:tcW w:type="dxa" w:w="2835"/>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提炼全周期研究成果，绘制学术图表，撰写并修改毕业论文，参加盲审与毕业答辩，完成资料归档</w:t>
            </w:r>
          </w:p>
        </w:tc>
        <w:tc>
          <w:tcPr>
            <w:tcW w:type="dxa" w:w="2721"/>
            <w:vAlign w:val="center"/>
            <w:tcMar>
              <w:top w:w="100" w:type="dxa"/>
              <w:bottom w:w="100" w:type="dxa"/>
              <w:left w:w="120" w:type="dxa"/>
              <w:right w:w="120" w:type="dxa"/>
            </w:tcMar>
          </w:tcPr>
          <w:p>
            <w:pPr>
              <w:spacing w:line="288" w:lineRule="auto" w:before="40" w:after="40"/>
              <w:jc w:val="left"/>
            </w:pPr>
            <w:r/>
            <w:r>
              <w:rPr>
                <w:rFonts w:ascii="Times New Roman" w:hAnsi="Times New Roman" w:cs="Times New Roman" w:eastAsia="宋体"/>
                <w:b w:val="0"/>
                <w:sz w:val="19"/>
              </w:rPr>
              <w:t>提交符合学术规范的毕业论文正稿，通过论文查重与盲审，完成毕业答辩与材料归档</w:t>
            </w:r>
          </w:p>
        </w:tc>
      </w:tr>
    </w:tbl>
    <w:p>
      <w:pPr>
        <w:pStyle w:val="a7"/>
        <w:spacing w:line="240" w:lineRule="auto" w:beforeLines="0" w:before="0" w:afterLines="0" w:after="0"/>
        <w:ind w:firstLine="0" w:firstLineChars="0"/>
      </w:pPr>
    </w:p>
    <w:permEnd w:id="1741359920"/>
    <w:p w14:paraId="41E5FE5D" w14:textId="77777777" w:rsidR="00117889" w:rsidRPr="0008585D" w:rsidRDefault="00117889" w:rsidP="005F5E45">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三、</w:t>
      </w:r>
      <w:permStart w:id="663169277" w:edGrp="everyone"/>
      <w:r w:rsidR="00F71C2A">
        <w:rPr>
          <w:rFonts w:ascii="Times New Roman" w:eastAsia="黑体" w:hint="eastAsia" w:hAnsi="Times New Roman" w:cs="Times New Roman"/>
          <w:b w:val="0"/>
          <w:sz w:val="28"/>
        </w:rPr>
        <w:t>毕业论文</w:t>
      </w:r>
      <w:permEnd w:id="663169277"/>
      <w:r w:rsidRPr="0008585D">
        <w:rPr>
          <w:rFonts w:ascii="Times New Roman" w:eastAsia="黑体" w:hint="eastAsia" w:hAnsi="Times New Roman" w:cs="Times New Roman"/>
          <w:b w:val="0"/>
          <w:sz w:val="28"/>
        </w:rPr>
        <w:t>的</w:t>
      </w:r>
      <w:r w:rsidR="003C56B6" w:rsidRPr="0008585D">
        <w:rPr>
          <w:rFonts w:ascii="Times New Roman" w:eastAsia="黑体" w:hint="eastAsia" w:hAnsi="Times New Roman" w:cs="Times New Roman"/>
          <w:b w:val="0"/>
          <w:sz w:val="28"/>
        </w:rPr>
        <w:t>主要参考文献</w:t>
      </w:r>
    </w:p>
    <w:p w14:paraId="2F5BFBEB" w14:textId="77777777" w:rsidR="0008585D" w:rsidRPr="00C45F8C" w:rsidRDefault="0008585D" w:rsidP="00C45F8C">
      <w:pPr>
        <w:pStyle w:val="a9"/>
        <w:rPr>
          <w:rFonts w:ascii="宋体" w:hAnsi="宋体"/>
        </w:rPr>
        <w:spacing w:line="360" w:lineRule="auto" w:beforeLines="0" w:before="0" w:afterLines="0" w:after="0"/>
        <w:ind w:left="420" w:hanging="420"/>
      </w:pPr>
      <w:permStart w:id="61024898" w:edGrp="everyone"/>
      <w:r>
        <w:rPr>
          <w:rFonts w:ascii="Times New Roman" w:hAnsi="Times New Roman" w:cs="Times New Roman" w:eastAsia="宋体"/>
          <w:b w:val="0"/>
          <w:sz w:val="24"/>
        </w:rPr>
        <w:t>[1] 中华人民共和国工业和信息化部, 国家发展和改革委员会, 科学技术部, 等. “十四五”机器人产业发展规划[J]. 中华人民共和国工业和信息化部公报, 2021(12): 20-27.</w:t>
      </w:r>
    </w:p>
    <w:p>
      <w:pPr>
        <w:pStyle w:val="a9"/>
        <w:spacing w:line="360" w:lineRule="auto" w:beforeLines="0" w:before="0" w:afterLines="0" w:after="0"/>
        <w:ind w:left="420" w:hanging="420"/>
      </w:pPr>
      <w:r>
        <w:rPr>
          <w:rFonts w:ascii="Times New Roman" w:hAnsi="Times New Roman" w:cs="Times New Roman" w:eastAsia="宋体"/>
          <w:b w:val="0"/>
          <w:sz w:val="24"/>
        </w:rPr>
        <w:t>[2] 工业和信息化部, 教育部, 科学技术部, 等. “机器人+”应用行动实施方案[J]. 中华人民共和国工业和信息化部公报, 2023(1): 18-24.</w:t>
      </w:r>
    </w:p>
    <w:p>
      <w:pPr>
        <w:pStyle w:val="a9"/>
        <w:spacing w:line="360" w:lineRule="auto" w:beforeLines="0" w:before="0" w:afterLines="0" w:after="0"/>
        <w:ind w:left="420" w:hanging="420"/>
      </w:pPr>
      <w:r>
        <w:rPr>
          <w:rFonts w:ascii="Times New Roman" w:hAnsi="Times New Roman" w:cs="Times New Roman" w:eastAsia="宋体"/>
          <w:b w:val="0"/>
          <w:sz w:val="24"/>
        </w:rPr>
        <w:t>[3] FOSSEN T I. Handbook of Marine Craft Hydrodynamics and Motion Control[M]. 2nd ed. Chichester, UK: John Wiley &amp; Sons, 2021.</w:t>
      </w:r>
    </w:p>
    <w:p>
      <w:pPr>
        <w:pStyle w:val="a9"/>
        <w:spacing w:line="360" w:lineRule="auto" w:beforeLines="0" w:before="0" w:afterLines="0" w:after="0"/>
        <w:ind w:left="420" w:hanging="420"/>
      </w:pPr>
      <w:r>
        <w:rPr>
          <w:rFonts w:ascii="Times New Roman" w:hAnsi="Times New Roman" w:cs="Times New Roman" w:eastAsia="宋体"/>
          <w:b w:val="0"/>
          <w:sz w:val="24"/>
        </w:rPr>
        <w:t>[4] FERNANDES D, SØRENSEN D, PETTERSEN K Y, et al. Output-feedback motion control of an underwater vehicle-manipulator system[J]. Control Engineering Practice, 2015, 39: 50-64.</w:t>
      </w:r>
    </w:p>
    <w:p>
      <w:pPr>
        <w:pStyle w:val="a9"/>
        <w:spacing w:line="360" w:lineRule="auto" w:beforeLines="0" w:before="0" w:afterLines="0" w:after="0"/>
        <w:ind w:left="420" w:hanging="420"/>
      </w:pPr>
      <w:r>
        <w:rPr>
          <w:rFonts w:ascii="Times New Roman" w:hAnsi="Times New Roman" w:cs="Times New Roman" w:eastAsia="宋体"/>
          <w:b w:val="0"/>
          <w:sz w:val="24"/>
        </w:rPr>
        <w:t>[5] VON BENZON M, SØRENSEN F F, UTH E, et al. An open-source benchmark simulator: Control of a BlueROV2 underwater robot[J]. Journal of Marine Science and Engineering, 2022, 10(12): 1898.</w:t>
      </w:r>
    </w:p>
    <w:p>
      <w:pPr>
        <w:pStyle w:val="a9"/>
        <w:spacing w:line="360" w:lineRule="auto" w:beforeLines="0" w:before="0" w:afterLines="0" w:after="0"/>
        <w:ind w:left="420" w:hanging="420"/>
      </w:pPr>
      <w:r>
        <w:rPr>
          <w:rFonts w:ascii="Times New Roman" w:hAnsi="Times New Roman" w:cs="Times New Roman" w:eastAsia="宋体"/>
          <w:b w:val="0"/>
          <w:sz w:val="24"/>
        </w:rPr>
        <w:t>[6] DUECKER D A, BAUSCHMANN N, HANSEN T, et al. HippoCampus X: A hydrobatic open-source micro AUV for confined environments[C]//2020 IEEE/OES Autonomous Underwater Vehicles Symposium (AUV). St. John's, NL, Canada: IEEE, 2020: 1-6.</w:t>
      </w:r>
    </w:p>
    <w:p>
      <w:pPr>
        <w:pStyle w:val="a9"/>
        <w:spacing w:line="360" w:lineRule="auto" w:beforeLines="0" w:before="0" w:afterLines="0" w:after="0"/>
        <w:ind w:left="420" w:hanging="420"/>
      </w:pPr>
      <w:r>
        <w:rPr>
          <w:rFonts w:ascii="Times New Roman" w:hAnsi="Times New Roman" w:cs="Times New Roman" w:eastAsia="宋体"/>
          <w:b w:val="0"/>
          <w:sz w:val="24"/>
        </w:rPr>
        <w:t>[7] JOHANSEN T A, FOSSEN T I. Control allocation: A survey[J]. Automatica, 2013, 49(5): 1087-1103.</w:t>
      </w:r>
    </w:p>
    <w:p>
      <w:pPr>
        <w:pStyle w:val="a9"/>
        <w:spacing w:line="360" w:lineRule="auto" w:beforeLines="0" w:before="0" w:afterLines="0" w:after="0"/>
        <w:ind w:left="420" w:hanging="420"/>
      </w:pPr>
      <w:r>
        <w:rPr>
          <w:rFonts w:ascii="Times New Roman" w:hAnsi="Times New Roman" w:cs="Times New Roman" w:eastAsia="宋体"/>
          <w:b w:val="0"/>
          <w:sz w:val="24"/>
        </w:rPr>
        <w:t>[8] MEIER L, HONEGGER D, POLLEFEYS M. PX4: A node-based multithreaded open source robotics framework for deeply embedded platforms[C]//2015 IEEE International Conference on Robotics and Automation (ICRA). Seattle, WA, USA: IEEE, 2015: 6235-6240.</w:t>
      </w:r>
    </w:p>
    <w:p>
      <w:pPr>
        <w:pStyle w:val="a9"/>
        <w:spacing w:line="360" w:lineRule="auto" w:beforeLines="0" w:before="0" w:afterLines="0" w:after="0"/>
        <w:ind w:left="420" w:hanging="420"/>
      </w:pPr>
      <w:r>
        <w:rPr>
          <w:rFonts w:ascii="Times New Roman" w:hAnsi="Times New Roman" w:cs="Times New Roman" w:eastAsia="宋体"/>
          <w:b w:val="0"/>
          <w:sz w:val="24"/>
        </w:rPr>
        <w:t>[9] SMALLWOOD D A, WHITCOMB L L. Model-based dynamic positioning of underwater robotic vehicles: Theory and experiment[J]. IEEE Journal of Oceanic Engineering, 2004, 29(1): 169-186.</w:t>
      </w:r>
    </w:p>
    <w:p>
      <w:pPr>
        <w:pStyle w:val="a9"/>
        <w:spacing w:line="360" w:lineRule="auto" w:beforeLines="0" w:before="0" w:afterLines="0" w:after="0"/>
        <w:ind w:left="420" w:hanging="420"/>
      </w:pPr>
      <w:r>
        <w:rPr>
          <w:rFonts w:ascii="Times New Roman" w:hAnsi="Times New Roman" w:cs="Times New Roman" w:eastAsia="宋体"/>
          <w:b w:val="0"/>
          <w:sz w:val="24"/>
        </w:rPr>
        <w:t>[10] FOSSEN T I. Nonlinear modelling of marine vehicles in 6 degrees of freedom[J]. Mathematical Modelling of Systems, 1995, 1(1): 17-27.</w:t>
      </w:r>
    </w:p>
    <w:p>
      <w:pPr>
        <w:pStyle w:val="a9"/>
        <w:spacing w:line="360" w:lineRule="auto" w:beforeLines="0" w:before="0" w:afterLines="0" w:after="0"/>
        <w:ind w:left="420" w:hanging="420"/>
      </w:pPr>
      <w:r>
        <w:rPr>
          <w:rFonts w:ascii="Times New Roman" w:hAnsi="Times New Roman" w:cs="Times New Roman" w:eastAsia="宋体"/>
          <w:b w:val="0"/>
          <w:sz w:val="24"/>
        </w:rPr>
        <w:t>[11] 严卫生, 高剑, 崔荣鑫, 等. 水下航行器控制技术[M]. 北京: 国防工业出版社, 2020.</w:t>
      </w:r>
    </w:p>
    <w:p>
      <w:pPr>
        <w:pStyle w:val="a9"/>
        <w:spacing w:line="360" w:lineRule="auto" w:beforeLines="0" w:before="0" w:afterLines="0" w:after="0"/>
        <w:ind w:left="420" w:hanging="420"/>
      </w:pPr>
      <w:r>
        <w:rPr>
          <w:rFonts w:ascii="Times New Roman" w:hAnsi="Times New Roman" w:cs="Times New Roman" w:eastAsia="宋体"/>
          <w:b w:val="0"/>
          <w:sz w:val="24"/>
        </w:rPr>
        <w:t>[12] PRESTERO T. Verification of a six-degree of freedom simulation model for the REMUS autonomous underwater vehicle[D]. Cambridge, MA: Massachusetts Institute of Technology, 2001.</w:t>
      </w:r>
    </w:p>
    <w:p>
      <w:pPr>
        <w:pStyle w:val="a9"/>
        <w:spacing w:line="360" w:lineRule="auto" w:beforeLines="0" w:before="0" w:afterLines="0" w:after="0"/>
        <w:ind w:left="420" w:hanging="420"/>
      </w:pPr>
      <w:r>
        <w:rPr>
          <w:rFonts w:ascii="Times New Roman" w:hAnsi="Times New Roman" w:cs="Times New Roman" w:eastAsia="宋体"/>
          <w:b w:val="0"/>
          <w:sz w:val="24"/>
        </w:rPr>
        <w:t>[13] 高婷, 庞永杰, 王亚兴, 等. 水下航行器水动力系数计算方法[J]. 哈尔滨工程大学学报, 2019, 40(1): 174-180.</w:t>
      </w:r>
    </w:p>
    <w:p>
      <w:pPr>
        <w:pStyle w:val="a9"/>
        <w:spacing w:line="360" w:lineRule="auto" w:beforeLines="0" w:before="0" w:afterLines="0" w:after="0"/>
        <w:ind w:left="420" w:hanging="420"/>
      </w:pPr>
      <w:r>
        <w:rPr>
          <w:rFonts w:ascii="Times New Roman" w:hAnsi="Times New Roman" w:cs="Times New Roman" w:eastAsia="宋体"/>
          <w:b w:val="0"/>
          <w:sz w:val="24"/>
        </w:rPr>
        <w:t>[14] CACCIA M, INDIVERI G, VERUGGIO G. Modeling and identification of open-frame variable configuration unmanned underwater vehicles[J]. IEEE Journal of Oceanic Engineering, 2000, 25(2): 227-240.</w:t>
      </w:r>
    </w:p>
    <w:p>
      <w:pPr>
        <w:pStyle w:val="a9"/>
        <w:spacing w:line="360" w:lineRule="auto" w:beforeLines="0" w:before="0" w:afterLines="0" w:after="0"/>
        <w:ind w:left="420" w:hanging="420"/>
      </w:pPr>
      <w:r>
        <w:rPr>
          <w:rFonts w:ascii="Times New Roman" w:hAnsi="Times New Roman" w:cs="Times New Roman" w:eastAsia="宋体"/>
          <w:b w:val="0"/>
          <w:sz w:val="24"/>
        </w:rPr>
        <w:t>[15] CHIN C, LAU M. Modeling and testing of hydrodynamic damping model for a complex-shaped remotely-operated vehicle for control[J]. Journal of Marine Science and Application, 2012, 11(2): 150-163.</w:t>
      </w:r>
    </w:p>
    <w:p>
      <w:pPr>
        <w:pStyle w:val="a9"/>
        <w:spacing w:line="360" w:lineRule="auto" w:beforeLines="0" w:before="0" w:afterLines="0" w:after="0"/>
        <w:ind w:left="420" w:hanging="420"/>
      </w:pPr>
      <w:r>
        <w:rPr>
          <w:rFonts w:ascii="Times New Roman" w:hAnsi="Times New Roman" w:cs="Times New Roman" w:eastAsia="宋体"/>
          <w:b w:val="0"/>
          <w:sz w:val="24"/>
        </w:rPr>
        <w:t>[16] ROSS A, FOSSEN T I, JOHANSEN T A. Identification of underwater vehicle hydrodynamic coefficients using free decay tests[J]. IFAC Proceedings Volumes, 2004, 37(10): 363-368.</w:t>
      </w:r>
    </w:p>
    <w:p>
      <w:pPr>
        <w:pStyle w:val="a9"/>
        <w:spacing w:line="360" w:lineRule="auto" w:beforeLines="0" w:before="0" w:afterLines="0" w:after="0"/>
        <w:ind w:left="420" w:hanging="420"/>
      </w:pPr>
      <w:r>
        <w:rPr>
          <w:rFonts w:ascii="Times New Roman" w:hAnsi="Times New Roman" w:cs="Times New Roman" w:eastAsia="宋体"/>
          <w:b w:val="0"/>
          <w:sz w:val="24"/>
        </w:rPr>
        <w:t>[17] AVILA J P J, DONHA D C, ADAMOWSKI J C. Experimental model identification of open-frame underwater vehicles[J]. Ocean Engineering, 2013, 60: 81-94.</w:t>
      </w:r>
    </w:p>
    <w:p>
      <w:pPr>
        <w:pStyle w:val="a9"/>
        <w:spacing w:line="360" w:lineRule="auto" w:beforeLines="0" w:before="0" w:afterLines="0" w:after="0"/>
        <w:ind w:left="420" w:hanging="420"/>
      </w:pPr>
      <w:r>
        <w:rPr>
          <w:rFonts w:ascii="Times New Roman" w:hAnsi="Times New Roman" w:cs="Times New Roman" w:eastAsia="宋体"/>
          <w:b w:val="0"/>
          <w:sz w:val="24"/>
        </w:rPr>
        <w:t>[18] PARK S, SUNG S, CHOI H. System identification method for robotic manipulator based on dynamic momentum regressor[J]. IEEE Transactions on Instrumentation and Measurement, 2016, 65(9): 2085-2095.</w:t>
      </w:r>
    </w:p>
    <w:p>
      <w:pPr>
        <w:pStyle w:val="a9"/>
        <w:spacing w:line="360" w:lineRule="auto" w:beforeLines="0" w:before="0" w:afterLines="0" w:after="0"/>
        <w:ind w:left="420" w:hanging="420"/>
      </w:pPr>
      <w:r>
        <w:rPr>
          <w:rFonts w:ascii="Times New Roman" w:hAnsi="Times New Roman" w:cs="Times New Roman" w:eastAsia="宋体"/>
          <w:b w:val="0"/>
          <w:sz w:val="24"/>
        </w:rPr>
        <w:t>[19] HARRIS M, MAURYA P. Stable nullspace adaptive parameter identification of 6 degree-of-freedom plant and actuator models[J]. IEEE Transactions on Control Systems Technology, 2023, 31(6): 2816-2823.</w:t>
      </w:r>
    </w:p>
    <w:p>
      <w:pPr>
        <w:pStyle w:val="a9"/>
        <w:spacing w:line="360" w:lineRule="auto" w:beforeLines="0" w:before="0" w:afterLines="0" w:after="0"/>
        <w:ind w:left="420" w:hanging="420"/>
      </w:pPr>
      <w:r>
        <w:rPr>
          <w:rFonts w:ascii="Times New Roman" w:hAnsi="Times New Roman" w:cs="Times New Roman" w:eastAsia="宋体"/>
          <w:b w:val="0"/>
          <w:sz w:val="24"/>
        </w:rPr>
        <w:t>[20] RAISSI M, PERDIKARIS P, KARNIADAKIS G E. Physics-informed neural networks: A deep learning framework for solving forward and inverse problems involving nonlinear partial differential equations[J]. Journal of Computational Physics, 2019, 378: 686-707.</w:t>
      </w:r>
    </w:p>
    <w:p>
      <w:pPr>
        <w:pStyle w:val="a9"/>
        <w:spacing w:line="360" w:lineRule="auto" w:beforeLines="0" w:before="0" w:afterLines="0" w:after="0"/>
        <w:ind w:left="420" w:hanging="420"/>
      </w:pPr>
      <w:r>
        <w:rPr>
          <w:rFonts w:ascii="Times New Roman" w:hAnsi="Times New Roman" w:cs="Times New Roman" w:eastAsia="宋体"/>
          <w:b w:val="0"/>
          <w:sz w:val="24"/>
        </w:rPr>
        <w:t>[21] BRUNTON S L, PROCTOR J L, KUTZ J N. Discovering governing equations from data by sparse identification of nonlinear dynamical systems[J]. Proceedings of the National Academy of Sciences, 2016, 113(15): 3932-3937.</w:t>
      </w:r>
    </w:p>
    <w:p>
      <w:pPr>
        <w:pStyle w:val="a9"/>
        <w:spacing w:line="360" w:lineRule="auto" w:beforeLines="0" w:before="0" w:afterLines="0" w:after="0"/>
        <w:ind w:left="420" w:hanging="420"/>
      </w:pPr>
      <w:r>
        <w:rPr>
          <w:rFonts w:ascii="Times New Roman" w:hAnsi="Times New Roman" w:cs="Times New Roman" w:eastAsia="宋体"/>
          <w:b w:val="0"/>
          <w:sz w:val="24"/>
        </w:rPr>
        <w:t>[22] CHEN R T Q, RUBANOVA Y, BETTENCOURT J, et al. Neural ordinary differential equations[C]//Advances in Neural Information Processing Systems (NeurIPS 2018). Montréal, QC, Canada, 2018: 6571-6583.</w:t>
      </w:r>
    </w:p>
    <w:p>
      <w:pPr>
        <w:pStyle w:val="a9"/>
        <w:spacing w:line="360" w:lineRule="auto" w:beforeLines="0" w:before="0" w:afterLines="0" w:after="0"/>
        <w:ind w:left="420" w:hanging="420"/>
      </w:pPr>
      <w:r>
        <w:rPr>
          <w:rFonts w:ascii="Times New Roman" w:hAnsi="Times New Roman" w:cs="Times New Roman" w:eastAsia="宋体"/>
          <w:b w:val="0"/>
          <w:sz w:val="24"/>
        </w:rPr>
        <w:t>[23] DUONG T, ATANASOV N. Port-Hamiltonian neural ODE networks on Lie groups for robot dynamics learning and control[J]. IEEE Transactions on Robotics, 2024, 40: 1215-1233.</w:t>
      </w:r>
    </w:p>
    <w:p>
      <w:pPr>
        <w:pStyle w:val="a9"/>
        <w:spacing w:line="360" w:lineRule="auto" w:beforeLines="0" w:before="0" w:afterLines="0" w:after="0"/>
        <w:ind w:left="420" w:hanging="420"/>
      </w:pPr>
      <w:r>
        <w:rPr>
          <w:rFonts w:ascii="Times New Roman" w:hAnsi="Times New Roman" w:cs="Times New Roman" w:eastAsia="宋体"/>
          <w:b w:val="0"/>
          <w:sz w:val="24"/>
        </w:rPr>
        <w:t>[24] YUH J. Design and control of autonomous underwater robots: A survey[J]. Autonomous Robots, 2000, 8(1): 7-24.</w:t>
      </w:r>
    </w:p>
    <w:p>
      <w:pPr>
        <w:pStyle w:val="a9"/>
        <w:spacing w:line="360" w:lineRule="auto" w:beforeLines="0" w:before="0" w:afterLines="0" w:after="0"/>
        <w:ind w:left="420" w:hanging="420"/>
      </w:pPr>
      <w:r>
        <w:rPr>
          <w:rFonts w:ascii="Times New Roman" w:hAnsi="Times New Roman" w:cs="Times New Roman" w:eastAsia="宋体"/>
          <w:b w:val="0"/>
          <w:sz w:val="24"/>
        </w:rPr>
        <w:t>[25] 朱大奇, 孙兵. 水下机器人运动控制研究进展[J]. 控制与决策, 2012, 27(3): 321-333.</w:t>
      </w:r>
    </w:p>
    <w:p>
      <w:pPr>
        <w:pStyle w:val="a9"/>
        <w:spacing w:line="360" w:lineRule="auto" w:beforeLines="0" w:before="0" w:afterLines="0" w:after="0"/>
        <w:ind w:left="420" w:hanging="420"/>
      </w:pPr>
      <w:r>
        <w:rPr>
          <w:rFonts w:ascii="Times New Roman" w:hAnsi="Times New Roman" w:cs="Times New Roman" w:eastAsia="宋体"/>
          <w:b w:val="0"/>
          <w:sz w:val="24"/>
        </w:rPr>
        <w:t>[26] CAPOCCI R, DRONIOU N, BOYER F, et al. Inspection-class remotely operated vehicles: A review[J]. Journal of Marine Science and Engineering, 2017, 5(1): 13.</w:t>
      </w:r>
    </w:p>
    <w:p>
      <w:pPr>
        <w:pStyle w:val="a9"/>
        <w:spacing w:line="360" w:lineRule="auto" w:beforeLines="0" w:before="0" w:afterLines="0" w:after="0"/>
        <w:ind w:left="420" w:hanging="420"/>
      </w:pPr>
      <w:r>
        <w:rPr>
          <w:rFonts w:ascii="Times New Roman" w:hAnsi="Times New Roman" w:cs="Times New Roman" w:eastAsia="宋体"/>
          <w:b w:val="0"/>
          <w:sz w:val="24"/>
        </w:rPr>
        <w:t>[27] YOERGER D R, SLOTINE J J E. Robust trajectory control of underwater vehicles[J]. IEEE Journal of Oceanic Engineering, 1985, 10(4): 462-470.</w:t>
      </w:r>
    </w:p>
    <w:p>
      <w:pPr>
        <w:pStyle w:val="a9"/>
        <w:spacing w:line="360" w:lineRule="auto" w:beforeLines="0" w:before="0" w:afterLines="0" w:after="0"/>
        <w:ind w:left="420" w:hanging="420"/>
      </w:pPr>
      <w:r>
        <w:rPr>
          <w:rFonts w:ascii="Times New Roman" w:hAnsi="Times New Roman" w:cs="Times New Roman" w:eastAsia="宋体"/>
          <w:b w:val="0"/>
          <w:sz w:val="24"/>
        </w:rPr>
        <w:t>[28] HEALEY A J, LIENARD D. Multivariable sliding mode control for autonomous diving and steering of unmanned underwater vehicles[J]. IEEE Journal of Oceanic Engineering, 1993, 18(3): 327-339.</w:t>
      </w:r>
    </w:p>
    <w:p>
      <w:pPr>
        <w:pStyle w:val="a9"/>
        <w:spacing w:line="360" w:lineRule="auto" w:beforeLines="0" w:before="0" w:afterLines="0" w:after="0"/>
        <w:ind w:left="420" w:hanging="420"/>
      </w:pPr>
      <w:r>
        <w:rPr>
          <w:rFonts w:ascii="Times New Roman" w:hAnsi="Times New Roman" w:cs="Times New Roman" w:eastAsia="宋体"/>
          <w:b w:val="0"/>
          <w:sz w:val="24"/>
        </w:rPr>
        <w:t>[29] CHU Z, ZHU D, YANG S X. Observer-based adaptive sliding mode trajectory tracking control for autonomous underwater vehicles with input saturation[J]. ISA Transactions, 2020, 100: 28-40.</w:t>
      </w:r>
    </w:p>
    <w:p>
      <w:pPr>
        <w:pStyle w:val="a9"/>
        <w:spacing w:line="360" w:lineRule="auto" w:beforeLines="0" w:before="0" w:afterLines="0" w:after="0"/>
        <w:ind w:left="420" w:hanging="420"/>
      </w:pPr>
      <w:r>
        <w:rPr>
          <w:rFonts w:ascii="Times New Roman" w:hAnsi="Times New Roman" w:cs="Times New Roman" w:eastAsia="宋体"/>
          <w:b w:val="0"/>
          <w:sz w:val="24"/>
        </w:rPr>
        <w:t>[30] 钱辰, 方勇纯. 面向扑翼飞行控制的建模与奇异摄动分析[J]. 自动化学报, 2020, 46(12): 2585-2595.</w:t>
      </w:r>
    </w:p>
    <w:p>
      <w:pPr>
        <w:pStyle w:val="a9"/>
        <w:spacing w:line="360" w:lineRule="auto" w:beforeLines="0" w:before="0" w:afterLines="0" w:after="0"/>
        <w:ind w:left="420" w:hanging="420"/>
      </w:pPr>
      <w:r>
        <w:rPr>
          <w:rFonts w:ascii="Times New Roman" w:hAnsi="Times New Roman" w:cs="Times New Roman" w:eastAsia="宋体"/>
          <w:b w:val="0"/>
          <w:sz w:val="24"/>
        </w:rPr>
        <w:t>[31] SMEUR E J J, CHU Q P, DE CROON G C H E. Adaptive incremental nonlinear dynamic inversion for attitude control of micro air vehicles[J]. Journal of Guidance, Control, and Dynamics, 2016, 39(3): 450-461.</w:t>
      </w:r>
    </w:p>
    <w:p>
      <w:pPr>
        <w:pStyle w:val="a9"/>
        <w:spacing w:line="360" w:lineRule="auto" w:beforeLines="0" w:before="0" w:afterLines="0" w:after="0"/>
        <w:ind w:left="420" w:hanging="420"/>
      </w:pPr>
      <w:r>
        <w:rPr>
          <w:rFonts w:ascii="Times New Roman" w:hAnsi="Times New Roman" w:cs="Times New Roman" w:eastAsia="宋体"/>
          <w:b w:val="0"/>
          <w:sz w:val="24"/>
        </w:rPr>
        <w:t>[32] SLAWIK T, VYAS S, CHRISTENSEN L, et al. Attitude control of the hydrobatic intervention AUV Cuttlefish using incremental nonlinear dynamic inversion[C]//2024 IEEE/RSJ International Conference on Intelligent Robots and Systems (IROS). Abu Dhabi, UAE: IEEE, 2024: 781-787.</w:t>
      </w:r>
    </w:p>
    <w:p>
      <w:pPr>
        <w:pStyle w:val="a9"/>
        <w:spacing w:line="360" w:lineRule="auto" w:beforeLines="0" w:before="0" w:afterLines="0" w:after="0"/>
        <w:ind w:left="420" w:hanging="420"/>
      </w:pPr>
      <w:r>
        <w:rPr>
          <w:rFonts w:ascii="Times New Roman" w:hAnsi="Times New Roman" w:cs="Times New Roman" w:eastAsia="宋体"/>
          <w:b w:val="0"/>
          <w:sz w:val="24"/>
        </w:rPr>
        <w:t>[33] HESHMATI-ALAMDARI S, NIKOU A, DIMAROGONAS D V. Robust trajectory tracking control for underactuated autonomous underwater vehicles in presence of current disturbances[J]. IEEE Transactions on Automation Science and Engineering, 2020, 18(3): 1292-1306.</w:t>
      </w:r>
    </w:p>
    <w:p>
      <w:pPr>
        <w:pStyle w:val="a9"/>
        <w:spacing w:line="360" w:lineRule="auto" w:beforeLines="0" w:before="0" w:afterLines="0" w:after="0"/>
        <w:ind w:left="420" w:hanging="420"/>
      </w:pPr>
      <w:r>
        <w:rPr>
          <w:rFonts w:ascii="Times New Roman" w:hAnsi="Times New Roman" w:cs="Times New Roman" w:eastAsia="宋体"/>
          <w:b w:val="0"/>
          <w:sz w:val="24"/>
        </w:rPr>
        <w:t>[34] LINIGER A, DOMAHOIDI A, MORARI M. Optimization-based autonomous racing of 1:43 scale RC cars[J]. Optimal Control Applications and Methods, 2015, 36(5): 628-647.</w:t>
      </w:r>
    </w:p>
    <w:p>
      <w:pPr>
        <w:pStyle w:val="a9"/>
        <w:spacing w:line="360" w:lineRule="auto" w:beforeLines="0" w:before="0" w:afterLines="0" w:after="0"/>
        <w:ind w:left="420" w:hanging="420"/>
      </w:pPr>
      <w:r>
        <w:rPr>
          <w:rFonts w:ascii="Times New Roman" w:hAnsi="Times New Roman" w:cs="Times New Roman" w:eastAsia="宋体"/>
          <w:b w:val="0"/>
          <w:sz w:val="24"/>
        </w:rPr>
        <w:t>[35] TORRENTE G, KAUFMANN E, FÖHN P, et al. Data-driven MPC for quadrotors[J]. IEEE Transactions on Control Systems Technology, 2021, 29(4): 1599-1613.</w:t>
      </w:r>
    </w:p>
    <w:p>
      <w:pPr>
        <w:pStyle w:val="a9"/>
        <w:spacing w:line="360" w:lineRule="auto" w:beforeLines="0" w:before="0" w:afterLines="0" w:after="0"/>
        <w:ind w:left="420" w:hanging="420"/>
      </w:pPr>
      <w:r>
        <w:rPr>
          <w:rFonts w:ascii="Times New Roman" w:hAnsi="Times New Roman" w:cs="Times New Roman" w:eastAsia="宋体"/>
          <w:b w:val="0"/>
          <w:sz w:val="24"/>
        </w:rPr>
        <w:t>[36] SHI G, HÖNIG W, YUE Y, et al. Neural-Lander: Stable drone landing in ground effect with learning-based dynamics[C]//2019 International Conference on Robotics and Automation (ICRA). Montreal, QC, Canada: IEEE, 2019: 9811-9818.</w:t>
      </w:r>
    </w:p>
    <w:p>
      <w:pPr>
        <w:pStyle w:val="a9"/>
        <w:spacing w:line="360" w:lineRule="auto" w:beforeLines="0" w:before="0" w:afterLines="0" w:after="0"/>
        <w:ind w:left="420" w:hanging="420"/>
      </w:pPr>
      <w:r>
        <w:rPr>
          <w:rFonts w:ascii="Times New Roman" w:hAnsi="Times New Roman" w:cs="Times New Roman" w:eastAsia="宋体"/>
          <w:b w:val="0"/>
          <w:sz w:val="24"/>
        </w:rPr>
        <w:t>[37] O'CONNELL M, SHI G, SHI X, et al. Neural-Fly enables rapid learning for agile flight in strong winds[J]. Science Robotics, 2022, 7(66): eabg6513.</w:t>
      </w:r>
    </w:p>
    <w:p>
      <w:pPr>
        <w:pStyle w:val="a9"/>
        <w:spacing w:line="360" w:lineRule="auto" w:beforeLines="0" w:before="0" w:afterLines="0" w:after="0"/>
        <w:ind w:left="420" w:hanging="420"/>
      </w:pPr>
      <w:r>
        <w:rPr>
          <w:rFonts w:ascii="Times New Roman" w:hAnsi="Times New Roman" w:cs="Times New Roman" w:eastAsia="宋体"/>
          <w:b w:val="0"/>
          <w:sz w:val="24"/>
        </w:rPr>
        <w:t>[38] BODSON M. Evaluation of optimization methods for control allocation[J]. Journal of Guidance, Control, and Dynamics, 2002, 25(4): 703-711.</w:t>
      </w:r>
    </w:p>
    <w:p>
      <w:pPr>
        <w:pStyle w:val="a9"/>
        <w:spacing w:line="360" w:lineRule="auto" w:beforeLines="0" w:before="0" w:afterLines="0" w:after="0"/>
        <w:ind w:left="420" w:hanging="420"/>
      </w:pPr>
      <w:r>
        <w:rPr>
          <w:rFonts w:ascii="Times New Roman" w:hAnsi="Times New Roman" w:cs="Times New Roman" w:eastAsia="宋体"/>
          <w:b w:val="0"/>
          <w:sz w:val="24"/>
        </w:rPr>
        <w:t>[39] HÄRKEGÅRD O. Efficient active set algorithms for solving constrained linear quadratic control allocation problems[J]. Journal of Guidance, Control, and Dynamics, 2002, 25(5): 827-835.</w:t>
      </w:r>
    </w:p>
    <w:p>
      <w:pPr>
        <w:pStyle w:val="a9"/>
        <w:spacing w:line="360" w:lineRule="auto" w:beforeLines="0" w:before="0" w:afterLines="0" w:after="0"/>
        <w:ind w:left="420" w:hanging="420"/>
      </w:pPr>
      <w:r>
        <w:rPr>
          <w:rFonts w:ascii="Times New Roman" w:hAnsi="Times New Roman" w:cs="Times New Roman" w:eastAsia="宋体"/>
          <w:b w:val="0"/>
          <w:sz w:val="24"/>
        </w:rPr>
        <w:t>[40] 程卫平, 王猛, 曾现敏, 等. 基于可行方向法的水下机器人推力分配[J]. 舰船科学技术, 2022, 44(13): 102-106.</w:t>
      </w:r>
    </w:p>
    <w:p>
      <w:pPr>
        <w:pStyle w:val="a9"/>
        <w:spacing w:line="360" w:lineRule="auto" w:beforeLines="0" w:before="0" w:afterLines="0" w:after="0"/>
        <w:ind w:left="420" w:hanging="420"/>
      </w:pPr>
      <w:r>
        <w:rPr>
          <w:rFonts w:ascii="Times New Roman" w:hAnsi="Times New Roman" w:cs="Times New Roman" w:eastAsia="宋体"/>
          <w:b w:val="0"/>
          <w:sz w:val="24"/>
        </w:rPr>
        <w:t>[41] 孙功武, 苏义鑫, 毛英, 等. 基于模糊逻辑的混合推进ROV多级推力分配策略[J]. 机器人, 2023, 45(4): 472-482.</w:t>
      </w:r>
    </w:p>
    <w:p>
      <w:pPr>
        <w:pStyle w:val="a9"/>
        <w:spacing w:line="360" w:lineRule="auto" w:beforeLines="0" w:before="0" w:afterLines="0" w:after="0"/>
        <w:ind w:left="420" w:hanging="420"/>
      </w:pPr>
      <w:r>
        <w:rPr>
          <w:rFonts w:ascii="Times New Roman" w:hAnsi="Times New Roman" w:cs="Times New Roman" w:eastAsia="宋体"/>
          <w:b w:val="0"/>
          <w:sz w:val="24"/>
        </w:rPr>
        <w:t>[42] LI Y, ZHANG M, CHEN Y, et al. MCE-based direct FTC method for underwater vehicles with thruster redundancy[J]. Ocean Engineering, 2025, 317: 119985.</w:t>
      </w:r>
    </w:p>
    <w:p>
      <w:pPr>
        <w:pStyle w:val="a9"/>
        <w:spacing w:line="360" w:lineRule="auto" w:beforeLines="0" w:before="0" w:afterLines="0" w:after="0"/>
        <w:ind w:left="420" w:hanging="420"/>
      </w:pPr>
      <w:r>
        <w:rPr>
          <w:rFonts w:ascii="Times New Roman" w:hAnsi="Times New Roman" w:cs="Times New Roman" w:eastAsia="宋体"/>
          <w:b w:val="0"/>
          <w:sz w:val="24"/>
        </w:rPr>
        <w:t>[43] BRUNKE L, GREEFF M, HALL A W, et al. Safe learning in robotics: From learning-based control to safe reinforcement learning[J]. Annual Review of Control, Robotics, and Autonomous Systems, 2022, 5: 411-444.</w:t>
      </w:r>
    </w:p>
    <w:p>
      <w:pPr>
        <w:pStyle w:val="a9"/>
        <w:spacing w:line="360" w:lineRule="auto" w:beforeLines="0" w:before="0" w:afterLines="0" w:after="0"/>
        <w:ind w:left="420" w:hanging="420"/>
      </w:pPr>
      <w:r>
        <w:rPr>
          <w:rFonts w:ascii="Times New Roman" w:hAnsi="Times New Roman" w:cs="Times New Roman" w:eastAsia="宋体"/>
          <w:b w:val="0"/>
          <w:sz w:val="24"/>
        </w:rPr>
        <w:t>[44] ZHAO Y, PENG X, WU J, et al. Spatiotemporal calibration of Doppler velocity logs for underwater robots[J]. arXiv preprint arXiv:2510.24571, 2025.</w:t>
      </w:r>
    </w:p>
    <w:p>
      <w:pPr>
        <w:pStyle w:val="a9"/>
        <w:spacing w:line="360" w:lineRule="auto" w:beforeLines="0" w:before="0" w:afterLines="0" w:after="0"/>
        <w:ind w:left="420" w:hanging="420"/>
      </w:pPr>
      <w:r>
        <w:rPr>
          <w:rFonts w:ascii="Times New Roman" w:hAnsi="Times New Roman" w:cs="Times New Roman" w:eastAsia="宋体"/>
          <w:b w:val="0"/>
          <w:sz w:val="24"/>
        </w:rPr>
        <w:t>[45] PENG X, ZHAO Y, WU J, et al. AquaticVision: Benchmarking visual SLAM in underwater environment with events and frames[C]//2025 IEEE International Conference on Robotics and Automation (ICRA). Atlanta, GA, USA: IEEE, 2025: 1-7.</w:t>
      </w:r>
    </w:p>
    <w:permEnd w:id="61024898"/>
    <w:p w14:paraId="2CA8248D" w14:textId="77777777" w:rsidR="00117889" w:rsidRPr="0008585D" w:rsidRDefault="00117889" w:rsidP="0008585D">
      <w:pPr>
        <w:spacing w:beforeLines="50" w:before="120" w:afterLines="50" w:after="120" w:line="360" w:lineRule="auto"/>
        <w:ind w:firstLine="560" w:firstLineChars="0"/>
        <w:rPr>
          <w:rFonts w:ascii="黑体" w:eastAsia="黑体" w:hint="eastAsia"/>
          <w:sz w:val="28"/>
        </w:rPr>
      </w:pPr>
      <w:r w:rsidRPr="0008585D">
        <w:rPr>
          <w:rFonts w:ascii="Times New Roman" w:eastAsia="黑体" w:hint="eastAsia" w:hAnsi="Times New Roman" w:cs="Times New Roman"/>
          <w:b w:val="0"/>
          <w:sz w:val="28"/>
        </w:rPr>
        <w:t>四、</w:t>
      </w:r>
      <w:r w:rsidR="003C56B6" w:rsidRPr="0008585D">
        <w:rPr>
          <w:rFonts w:ascii="Times New Roman" w:eastAsia="黑体" w:hint="eastAsia" w:hAnsi="Times New Roman" w:cs="Times New Roman"/>
          <w:b w:val="0"/>
          <w:sz w:val="28"/>
        </w:rPr>
        <w:t>审核意见</w:t>
      </w:r>
    </w:p>
    <w:tbl>
      <w:tblPr>
        <w:tblW w:w="8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0"/>
      </w:tblGrid>
      <w:tr w:rsidR="003C56B6" w14:paraId="3A9BF221" w14:textId="77777777" w:rsidTr="00D82E2B">
        <w:tblPrEx>
          <w:tblCellMar>
            <w:top w:w="0" w:type="dxa"/>
            <w:bottom w:w="0" w:type="dxa"/>
          </w:tblCellMar>
        </w:tblPrEx>
        <w:trPr>
          <w:trHeight w:val="5068"/>
        </w:trPr>
        <w:tc>
          <w:tcPr>
            <w:tcW w:w="8500" w:type="dxa"/>
            <w:vAlign w:val="bottom"/>
          </w:tcPr>
          <w:p w14:paraId="498EEE18" w14:textId="77777777" w:rsidR="006C543B" w:rsidRPr="00CB3579" w:rsidRDefault="00612E7C" w:rsidP="0042402F">
            <w:pPr>
              <w:spacing w:line="360" w:lineRule="exact"/>
              <w:ind w:firstLine="480"/>
              <w:rPr>
                <w:rFonts w:ascii="宋体" w:hAnsi="宋体" w:hint="eastAsia"/>
                <w:szCs w:val="21"/>
              </w:rPr>
            </w:pPr>
            <w:r w:rsidRPr="00612E7C">
              <w:rPr>
                <w:rFonts w:ascii="黑体" w:eastAsia="黑体" w:hAnsi="宋体"/>
                <w:szCs w:val="24"/>
              </w:rPr>
              <w:lastRenderedPageBreak/>
              <w:t>指导教师意见：</w:t>
            </w:r>
            <w:permStart w:id="1765554322" w:edGrp="everyone"/>
          </w:p>
          <w:p w14:paraId="0B50E364" w14:textId="77777777" w:rsidR="006C543B" w:rsidRDefault="00BB4B8B" w:rsidP="0042402F">
            <w:pPr>
              <w:spacing w:line="360" w:lineRule="exact"/>
              <w:ind w:firstLine="480"/>
              <w:rPr>
                <w:rFonts w:ascii="宋体" w:hAnsi="宋体" w:hint="eastAsia"/>
                <w:color w:val="ADADAD"/>
                <w:szCs w:val="24"/>
              </w:rPr>
            </w:pPr>
            <w:r>
              <w:rPr>
                <w:rFonts w:ascii="宋体" w:hAnsi="宋体"/>
                <w:color w:val="ADADAD"/>
                <w:szCs w:val="24"/>
              </w:rPr>
              <w:t>（课题难度是否适中、工作量是否饱满、进度安排是否合理、工作条件是否具备、是否同意开题等）</w:t>
            </w:r>
          </w:p>
          <w:p w14:paraId="3930308C" w14:textId="77777777" w:rsidR="00D82E2B" w:rsidRPr="00612E7C" w:rsidRDefault="00D82E2B" w:rsidP="00D65133">
            <w:pPr>
              <w:pStyle w:val="a7"/>
              <w:ind w:firstLine="480"/>
              <w:rPr>
                <w:rFonts w:hint="eastAsia"/>
              </w:rPr>
            </w:pPr>
          </w:p>
          <w:p w14:paraId="08C32DB3" w14:textId="77777777" w:rsidR="00D82E2B" w:rsidRPr="00612E7C" w:rsidRDefault="00D82E2B" w:rsidP="00D65133">
            <w:pPr>
              <w:pStyle w:val="a7"/>
              <w:ind w:firstLine="480"/>
              <w:rPr>
                <w:rFonts w:hint="eastAsia"/>
              </w:rPr>
            </w:pPr>
          </w:p>
          <w:p w14:paraId="42BCE067" w14:textId="77777777" w:rsidR="006C543B" w:rsidRPr="00612E7C" w:rsidRDefault="006C543B" w:rsidP="00D65133">
            <w:pPr>
              <w:pStyle w:val="a7"/>
              <w:ind w:firstLine="480"/>
              <w:rPr>
                <w:rFonts w:hint="eastAsia"/>
              </w:rPr>
            </w:pPr>
          </w:p>
          <w:p w14:paraId="62F9A7FB" w14:textId="77777777" w:rsidR="006C543B" w:rsidRPr="00612E7C" w:rsidRDefault="006C543B" w:rsidP="00D65133">
            <w:pPr>
              <w:pStyle w:val="a7"/>
              <w:ind w:firstLine="480"/>
              <w:rPr>
                <w:rFonts w:hint="eastAsia"/>
              </w:rPr>
            </w:pPr>
          </w:p>
          <w:p w14:paraId="1EAE3CD9" w14:textId="77777777" w:rsidR="006C543B" w:rsidRPr="00612E7C" w:rsidRDefault="006C543B" w:rsidP="00D65133">
            <w:pPr>
              <w:pStyle w:val="a7"/>
              <w:ind w:firstLine="480"/>
              <w:rPr>
                <w:rFonts w:hint="eastAsia"/>
              </w:rPr>
            </w:pPr>
          </w:p>
          <w:p w14:paraId="1D61238E" w14:textId="77777777" w:rsidR="006C543B" w:rsidRPr="00612E7C" w:rsidRDefault="006C543B" w:rsidP="00D65133">
            <w:pPr>
              <w:pStyle w:val="a7"/>
              <w:ind w:firstLine="480"/>
              <w:rPr>
                <w:rFonts w:hint="eastAsia"/>
              </w:rPr>
            </w:pPr>
          </w:p>
          <w:p w14:paraId="329DC671" w14:textId="77777777" w:rsidR="006C543B" w:rsidRPr="00612E7C" w:rsidRDefault="006C543B" w:rsidP="00D65133">
            <w:pPr>
              <w:pStyle w:val="a7"/>
              <w:ind w:firstLine="480"/>
              <w:rPr>
                <w:rFonts w:hint="eastAsia"/>
              </w:rPr>
            </w:pPr>
          </w:p>
          <w:permEnd w:id="1765554322"/>
          <w:p w14:paraId="69D2BE4E" w14:textId="77777777" w:rsidR="006C543B" w:rsidRPr="00612E7C" w:rsidRDefault="006C543B" w:rsidP="005A3AC1">
            <w:pPr>
              <w:ind w:firstLineChars="2300" w:firstLine="5520"/>
              <w:rPr>
                <w:rFonts w:ascii="黑体" w:eastAsia="黑体" w:hAnsi="宋体" w:hint="eastAsia"/>
                <w:szCs w:val="24"/>
              </w:rPr>
            </w:pPr>
            <w:r w:rsidRPr="00612E7C">
              <w:rPr>
                <w:rFonts w:ascii="黑体" w:eastAsia="黑体" w:hAnsi="宋体" w:hint="eastAsia"/>
                <w:szCs w:val="24"/>
              </w:rPr>
              <w:t>指导教师签名</w:t>
            </w:r>
            <w:r w:rsidRPr="00612E7C">
              <w:rPr>
                <w:rFonts w:ascii="黑体" w:eastAsia="黑体" w:hAnsi="宋体" w:hint="eastAsia"/>
                <w:szCs w:val="24"/>
                <w:u w:val="single"/>
              </w:rPr>
              <w:t xml:space="preserve">   </w:t>
            </w:r>
            <w:permStart w:id="1518695443" w:edGrp="everyone"/>
            <w:r w:rsidRPr="00612E7C">
              <w:rPr>
                <w:rFonts w:ascii="黑体" w:eastAsia="黑体" w:hAnsi="宋体" w:hint="eastAsia"/>
                <w:szCs w:val="24"/>
                <w:u w:val="single"/>
              </w:rPr>
              <w:t xml:space="preserve">  </w:t>
            </w:r>
            <w:permEnd w:id="1518695443"/>
            <w:r w:rsidRPr="00612E7C">
              <w:rPr>
                <w:rFonts w:ascii="黑体" w:eastAsia="黑体" w:hAnsi="宋体" w:hint="eastAsia"/>
                <w:szCs w:val="24"/>
                <w:u w:val="single"/>
              </w:rPr>
              <w:t xml:space="preserve">  </w:t>
            </w:r>
          </w:p>
          <w:p w14:paraId="54DBADB2" w14:textId="77777777" w:rsidR="006C543B" w:rsidRPr="00612E7C" w:rsidRDefault="006C543B">
            <w:pPr>
              <w:ind w:firstLine="480"/>
              <w:jc w:val="center"/>
              <w:rPr>
                <w:rFonts w:ascii="黑体" w:eastAsia="黑体" w:hAnsi="宋体" w:hint="eastAsia"/>
                <w:szCs w:val="24"/>
              </w:rPr>
            </w:pPr>
            <w:r w:rsidRPr="00612E7C">
              <w:rPr>
                <w:rFonts w:ascii="宋体" w:hAnsi="宋体" w:hint="eastAsia"/>
                <w:szCs w:val="24"/>
              </w:rPr>
              <w:t xml:space="preserve">                      </w:t>
            </w:r>
            <w:r w:rsidR="00214248">
              <w:rPr>
                <w:rFonts w:ascii="宋体" w:hAnsi="宋体" w:hint="eastAsia"/>
                <w:szCs w:val="24"/>
              </w:rPr>
              <w:t xml:space="preserve">                  </w:t>
            </w:r>
            <w:r w:rsidR="00641C40" w:rsidRPr="00612E7C">
              <w:rPr>
                <w:rFonts w:ascii="宋体" w:hAnsi="宋体" w:hint="eastAsia"/>
                <w:szCs w:val="24"/>
                <w:u w:val="single"/>
              </w:rPr>
              <w:t xml:space="preserve"> </w:t>
            </w:r>
            <w:permStart w:id="1781160961" w:edGrp="everyone"/>
            <w:r w:rsidR="00641C40" w:rsidRPr="00612E7C">
              <w:rPr>
                <w:rFonts w:ascii="宋体" w:hAnsi="宋体" w:hint="eastAsia"/>
                <w:szCs w:val="24"/>
                <w:u w:val="single"/>
              </w:rPr>
              <w:t xml:space="preserve"> </w:t>
            </w:r>
            <w:permEnd w:id="1781160961"/>
            <w:r w:rsidR="00641C40" w:rsidRPr="00612E7C">
              <w:rPr>
                <w:rFonts w:ascii="宋体" w:hAnsi="宋体" w:hint="eastAsia"/>
                <w:szCs w:val="24"/>
                <w:u w:val="single"/>
              </w:rPr>
              <w:t xml:space="preserve"> </w:t>
            </w:r>
            <w:r w:rsidR="00641C40" w:rsidRPr="00612E7C">
              <w:rPr>
                <w:rFonts w:ascii="黑体" w:eastAsia="黑体" w:hAnsi="宋体" w:hint="eastAsia"/>
                <w:szCs w:val="24"/>
              </w:rPr>
              <w:t>年</w:t>
            </w:r>
            <w:r w:rsidR="00641C40" w:rsidRPr="00612E7C">
              <w:rPr>
                <w:rFonts w:ascii="宋体" w:hAnsi="宋体" w:hint="eastAsia"/>
                <w:szCs w:val="24"/>
                <w:u w:val="single"/>
              </w:rPr>
              <w:t xml:space="preserve"> </w:t>
            </w:r>
            <w:permStart w:id="331945448" w:edGrp="everyone"/>
            <w:r w:rsidR="00641C40" w:rsidRPr="00612E7C">
              <w:rPr>
                <w:rFonts w:ascii="宋体" w:hAnsi="宋体" w:hint="eastAsia"/>
                <w:szCs w:val="24"/>
                <w:u w:val="single"/>
              </w:rPr>
              <w:t xml:space="preserve"> </w:t>
            </w:r>
            <w:permEnd w:id="331945448"/>
            <w:r w:rsidR="00641C40" w:rsidRPr="00612E7C">
              <w:rPr>
                <w:rFonts w:ascii="宋体" w:hAnsi="宋体" w:hint="eastAsia"/>
                <w:szCs w:val="24"/>
                <w:u w:val="single"/>
              </w:rPr>
              <w:t xml:space="preserve"> </w:t>
            </w:r>
            <w:r w:rsidR="00641C40" w:rsidRPr="00612E7C">
              <w:rPr>
                <w:rFonts w:ascii="黑体" w:eastAsia="黑体" w:hAnsi="宋体" w:hint="eastAsia"/>
                <w:szCs w:val="24"/>
              </w:rPr>
              <w:t>月</w:t>
            </w:r>
            <w:r w:rsidR="00641C40" w:rsidRPr="00612E7C">
              <w:rPr>
                <w:rFonts w:ascii="宋体" w:hAnsi="宋体" w:hint="eastAsia"/>
                <w:szCs w:val="24"/>
                <w:u w:val="single"/>
              </w:rPr>
              <w:t xml:space="preserve"> </w:t>
            </w:r>
            <w:permStart w:id="1703167306" w:edGrp="everyone"/>
            <w:r w:rsidR="00641C40" w:rsidRPr="00612E7C">
              <w:rPr>
                <w:rFonts w:ascii="宋体" w:hAnsi="宋体" w:hint="eastAsia"/>
                <w:szCs w:val="24"/>
                <w:u w:val="single"/>
              </w:rPr>
              <w:t xml:space="preserve"> </w:t>
            </w:r>
            <w:permEnd w:id="1703167306"/>
            <w:r w:rsidR="00641C40" w:rsidRPr="00612E7C">
              <w:rPr>
                <w:rFonts w:ascii="宋体" w:hAnsi="宋体" w:hint="eastAsia"/>
                <w:szCs w:val="24"/>
                <w:u w:val="single"/>
              </w:rPr>
              <w:t xml:space="preserve"> </w:t>
            </w:r>
            <w:r w:rsidR="00641C40" w:rsidRPr="00612E7C">
              <w:rPr>
                <w:rFonts w:ascii="黑体" w:eastAsia="黑体" w:hAnsi="宋体" w:hint="eastAsia"/>
                <w:szCs w:val="24"/>
              </w:rPr>
              <w:t>日</w:t>
            </w:r>
          </w:p>
          <w:p w14:paraId="0AA36D12" w14:textId="77777777" w:rsidR="005A3AC1" w:rsidRPr="006C543B" w:rsidRDefault="005A3AC1">
            <w:pPr>
              <w:ind w:firstLine="560"/>
              <w:jc w:val="center"/>
              <w:rPr>
                <w:rFonts w:ascii="宋体" w:hAnsi="宋体" w:hint="eastAsia"/>
                <w:sz w:val="28"/>
              </w:rPr>
            </w:pPr>
          </w:p>
        </w:tc>
      </w:tr>
      <w:tr w:rsidR="006C543B" w14:paraId="4FEE186F" w14:textId="77777777" w:rsidTr="00D82E2B">
        <w:tblPrEx>
          <w:tblCellMar>
            <w:top w:w="0" w:type="dxa"/>
            <w:bottom w:w="0" w:type="dxa"/>
          </w:tblCellMar>
        </w:tblPrEx>
        <w:trPr>
          <w:trHeight w:val="3965"/>
        </w:trPr>
        <w:tc>
          <w:tcPr>
            <w:tcW w:w="8500" w:type="dxa"/>
            <w:vAlign w:val="bottom"/>
          </w:tcPr>
          <w:p w14:paraId="0BA4A45F" w14:textId="77777777" w:rsidR="005A3AC1" w:rsidRPr="004377B6" w:rsidRDefault="005A3AC1" w:rsidP="005A3AC1">
            <w:pPr>
              <w:ind w:firstLine="480"/>
              <w:rPr>
                <w:rFonts w:ascii="黑体" w:eastAsia="黑体" w:hAnsi="楷体" w:hint="eastAsia"/>
                <w:szCs w:val="24"/>
              </w:rPr>
            </w:pPr>
            <w:r w:rsidRPr="004377B6">
              <w:rPr>
                <w:rFonts w:ascii="黑体" w:eastAsia="黑体" w:hAnsi="楷体" w:hint="eastAsia"/>
                <w:szCs w:val="24"/>
              </w:rPr>
              <w:t>专业审核意见：</w:t>
            </w:r>
          </w:p>
          <w:p w14:paraId="464295D2" w14:textId="77777777" w:rsidR="005A3AC1" w:rsidRDefault="000B4F99" w:rsidP="00214248">
            <w:pPr>
              <w:spacing w:line="360" w:lineRule="auto"/>
              <w:ind w:firstLine="480"/>
              <w:rPr>
                <w:rFonts w:ascii="宋体" w:hAnsi="宋体" w:hint="eastAsia"/>
                <w:color w:val="ADADAD"/>
                <w:szCs w:val="24"/>
              </w:rPr>
            </w:pPr>
            <w:permStart w:id="64110409" w:edGrp="everyone"/>
            <w:r>
              <w:rPr>
                <w:rFonts w:hAnsi="宋体" w:hint="eastAsia"/>
                <w:color w:val="ADADAD"/>
                <w:szCs w:val="24"/>
              </w:rPr>
              <w:t>（</w:t>
            </w:r>
            <w:r w:rsidR="00214248">
              <w:rPr>
                <w:rFonts w:hAnsi="宋体" w:hint="eastAsia"/>
                <w:color w:val="ADADAD"/>
                <w:szCs w:val="24"/>
              </w:rPr>
              <w:t>适当对各项内容给与意见和评价，</w:t>
            </w:r>
            <w:r w:rsidR="00713785">
              <w:rPr>
                <w:rFonts w:hAnsi="宋体" w:hint="eastAsia"/>
                <w:color w:val="ADADAD"/>
                <w:szCs w:val="24"/>
              </w:rPr>
              <w:t>字数不限。</w:t>
            </w:r>
            <w:r>
              <w:rPr>
                <w:rFonts w:hAnsi="宋体" w:hint="eastAsia"/>
                <w:color w:val="ADADAD"/>
                <w:szCs w:val="24"/>
              </w:rPr>
              <w:t>）</w:t>
            </w:r>
          </w:p>
          <w:p w14:paraId="037A73CE" w14:textId="77777777" w:rsidR="005A3AC1" w:rsidRPr="00214248" w:rsidRDefault="005A3AC1" w:rsidP="00D65133">
            <w:pPr>
              <w:pStyle w:val="a7"/>
              <w:ind w:firstLine="480"/>
              <w:rPr>
                <w:rFonts w:hint="eastAsia"/>
              </w:rPr>
            </w:pPr>
          </w:p>
          <w:p w14:paraId="0BB96980" w14:textId="77777777" w:rsidR="006C543B" w:rsidRPr="00214248" w:rsidRDefault="006C543B" w:rsidP="00D65133">
            <w:pPr>
              <w:pStyle w:val="a7"/>
              <w:ind w:firstLine="480"/>
              <w:rPr>
                <w:rFonts w:hint="eastAsia"/>
              </w:rPr>
            </w:pPr>
          </w:p>
          <w:p w14:paraId="631107CC" w14:textId="77777777" w:rsidR="00D82E2B" w:rsidRPr="00214248" w:rsidRDefault="00D82E2B" w:rsidP="00D65133">
            <w:pPr>
              <w:pStyle w:val="a7"/>
              <w:ind w:firstLine="480"/>
              <w:rPr>
                <w:rFonts w:hint="eastAsia"/>
              </w:rPr>
            </w:pPr>
          </w:p>
          <w:p w14:paraId="1F651512" w14:textId="77777777" w:rsidR="006C543B" w:rsidRPr="00214248" w:rsidRDefault="006C543B" w:rsidP="00D65133">
            <w:pPr>
              <w:pStyle w:val="a7"/>
              <w:ind w:firstLine="480"/>
              <w:rPr>
                <w:rFonts w:hint="eastAsia"/>
              </w:rPr>
            </w:pPr>
          </w:p>
          <w:p w14:paraId="03E625F7" w14:textId="77777777" w:rsidR="006C543B" w:rsidRPr="00214248" w:rsidRDefault="006C543B" w:rsidP="00D65133">
            <w:pPr>
              <w:pStyle w:val="a7"/>
              <w:ind w:firstLine="480"/>
              <w:rPr>
                <w:rFonts w:hint="eastAsia"/>
              </w:rPr>
            </w:pPr>
          </w:p>
          <w:permEnd w:id="64110409"/>
          <w:p w14:paraId="2F4B20B7" w14:textId="77777777" w:rsidR="006C543B" w:rsidRPr="00214248" w:rsidRDefault="006C543B" w:rsidP="005A3AC1">
            <w:pPr>
              <w:ind w:firstLineChars="2400" w:firstLine="5760"/>
              <w:rPr>
                <w:rFonts w:ascii="黑体" w:eastAsia="黑体" w:hAnsi="宋体" w:hint="eastAsia"/>
                <w:szCs w:val="24"/>
              </w:rPr>
            </w:pPr>
            <w:r w:rsidRPr="00214248">
              <w:rPr>
                <w:rFonts w:ascii="黑体" w:eastAsia="黑体" w:hAnsi="宋体" w:hint="eastAsia"/>
                <w:szCs w:val="24"/>
              </w:rPr>
              <w:t>负责人签名</w:t>
            </w:r>
            <w:r w:rsidRPr="00214248">
              <w:rPr>
                <w:rFonts w:ascii="黑体" w:eastAsia="黑体" w:hAnsi="宋体" w:hint="eastAsia"/>
                <w:szCs w:val="24"/>
                <w:u w:val="single"/>
              </w:rPr>
              <w:t xml:space="preserve">  </w:t>
            </w:r>
            <w:permStart w:id="1919437834" w:edGrp="everyone"/>
            <w:r w:rsidR="00641C40" w:rsidRPr="00214248">
              <w:rPr>
                <w:rFonts w:ascii="黑体" w:eastAsia="黑体" w:hAnsi="宋体" w:hint="eastAsia"/>
                <w:szCs w:val="24"/>
                <w:u w:val="single"/>
              </w:rPr>
              <w:t xml:space="preserve"> </w:t>
            </w:r>
            <w:r w:rsidRPr="00214248">
              <w:rPr>
                <w:rFonts w:ascii="黑体" w:eastAsia="黑体" w:hAnsi="宋体" w:hint="eastAsia"/>
                <w:szCs w:val="24"/>
                <w:u w:val="single"/>
              </w:rPr>
              <w:t xml:space="preserve"> </w:t>
            </w:r>
            <w:permEnd w:id="1919437834"/>
            <w:r w:rsidRPr="00214248">
              <w:rPr>
                <w:rFonts w:ascii="黑体" w:eastAsia="黑体" w:hAnsi="宋体" w:hint="eastAsia"/>
                <w:szCs w:val="24"/>
                <w:u w:val="single"/>
              </w:rPr>
              <w:t xml:space="preserve">  </w:t>
            </w:r>
          </w:p>
          <w:p w14:paraId="7032D7DB" w14:textId="77777777" w:rsidR="006C543B" w:rsidRPr="00214248" w:rsidRDefault="006C543B" w:rsidP="006C543B">
            <w:pPr>
              <w:ind w:firstLine="480"/>
              <w:jc w:val="center"/>
              <w:rPr>
                <w:rFonts w:ascii="楷体" w:eastAsia="楷体" w:hAnsi="楷体" w:hint="eastAsia"/>
                <w:szCs w:val="24"/>
              </w:rPr>
            </w:pPr>
            <w:r w:rsidRPr="00214248">
              <w:rPr>
                <w:rFonts w:ascii="宋体" w:hAnsi="宋体" w:hint="eastAsia"/>
                <w:szCs w:val="24"/>
              </w:rPr>
              <w:t xml:space="preserve">                    </w:t>
            </w:r>
            <w:r w:rsidR="00641C40" w:rsidRPr="00214248">
              <w:rPr>
                <w:rFonts w:ascii="宋体" w:hAnsi="宋体" w:hint="eastAsia"/>
                <w:szCs w:val="24"/>
              </w:rPr>
              <w:t xml:space="preserve">    </w:t>
            </w:r>
            <w:r w:rsidR="00214248">
              <w:rPr>
                <w:rFonts w:ascii="宋体" w:hAnsi="宋体" w:hint="eastAsia"/>
                <w:szCs w:val="24"/>
              </w:rPr>
              <w:t xml:space="preserve">                  </w:t>
            </w:r>
            <w:r w:rsidRPr="00214248">
              <w:rPr>
                <w:rFonts w:ascii="宋体" w:hAnsi="宋体" w:hint="eastAsia"/>
                <w:szCs w:val="24"/>
                <w:u w:val="single"/>
              </w:rPr>
              <w:t xml:space="preserve"> </w:t>
            </w:r>
            <w:permStart w:id="657809024" w:edGrp="everyone"/>
            <w:r w:rsidRPr="00214248">
              <w:rPr>
                <w:rFonts w:ascii="宋体" w:hAnsi="宋体" w:hint="eastAsia"/>
                <w:szCs w:val="24"/>
                <w:u w:val="single"/>
              </w:rPr>
              <w:t xml:space="preserve"> </w:t>
            </w:r>
            <w:permEnd w:id="657809024"/>
            <w:r w:rsidRPr="00214248">
              <w:rPr>
                <w:rFonts w:ascii="宋体" w:hAnsi="宋体" w:hint="eastAsia"/>
                <w:szCs w:val="24"/>
                <w:u w:val="single"/>
              </w:rPr>
              <w:t xml:space="preserve"> </w:t>
            </w:r>
            <w:r w:rsidRPr="00214248">
              <w:rPr>
                <w:rFonts w:ascii="黑体" w:eastAsia="黑体" w:hAnsi="宋体" w:hint="eastAsia"/>
                <w:szCs w:val="24"/>
              </w:rPr>
              <w:t>年</w:t>
            </w:r>
            <w:r w:rsidRPr="00214248">
              <w:rPr>
                <w:rFonts w:ascii="宋体" w:hAnsi="宋体" w:hint="eastAsia"/>
                <w:szCs w:val="24"/>
                <w:u w:val="single"/>
              </w:rPr>
              <w:t xml:space="preserve"> </w:t>
            </w:r>
            <w:permStart w:id="514345028" w:edGrp="everyone"/>
            <w:r w:rsidRPr="00214248">
              <w:rPr>
                <w:rFonts w:ascii="宋体" w:hAnsi="宋体" w:hint="eastAsia"/>
                <w:szCs w:val="24"/>
                <w:u w:val="single"/>
              </w:rPr>
              <w:t xml:space="preserve"> </w:t>
            </w:r>
            <w:permEnd w:id="514345028"/>
            <w:r w:rsidR="005A3AC1" w:rsidRPr="00214248">
              <w:rPr>
                <w:rFonts w:ascii="宋体" w:hAnsi="宋体" w:hint="eastAsia"/>
                <w:szCs w:val="24"/>
                <w:u w:val="single"/>
              </w:rPr>
              <w:t xml:space="preserve"> </w:t>
            </w:r>
            <w:r w:rsidRPr="00214248">
              <w:rPr>
                <w:rFonts w:ascii="黑体" w:eastAsia="黑体" w:hAnsi="宋体" w:hint="eastAsia"/>
                <w:szCs w:val="24"/>
              </w:rPr>
              <w:t>月</w:t>
            </w:r>
            <w:r w:rsidRPr="00214248">
              <w:rPr>
                <w:rFonts w:ascii="宋体" w:hAnsi="宋体" w:hint="eastAsia"/>
                <w:szCs w:val="24"/>
                <w:u w:val="single"/>
              </w:rPr>
              <w:t xml:space="preserve"> </w:t>
            </w:r>
            <w:permStart w:id="1450260749" w:edGrp="everyone"/>
            <w:r w:rsidR="00641C40" w:rsidRPr="00214248">
              <w:rPr>
                <w:rFonts w:ascii="宋体" w:hAnsi="宋体" w:hint="eastAsia"/>
                <w:szCs w:val="24"/>
                <w:u w:val="single"/>
              </w:rPr>
              <w:t xml:space="preserve"> </w:t>
            </w:r>
            <w:permEnd w:id="1450260749"/>
            <w:r w:rsidRPr="00214248">
              <w:rPr>
                <w:rFonts w:ascii="宋体" w:hAnsi="宋体" w:hint="eastAsia"/>
                <w:szCs w:val="24"/>
                <w:u w:val="single"/>
              </w:rPr>
              <w:t xml:space="preserve"> </w:t>
            </w:r>
            <w:r w:rsidRPr="00214248">
              <w:rPr>
                <w:rFonts w:ascii="黑体" w:eastAsia="黑体" w:hAnsi="宋体" w:hint="eastAsia"/>
                <w:szCs w:val="24"/>
              </w:rPr>
              <w:t>日</w:t>
            </w:r>
          </w:p>
          <w:p w14:paraId="698FE26B" w14:textId="77777777" w:rsidR="006C543B" w:rsidRDefault="006C543B">
            <w:pPr>
              <w:ind w:firstLine="480"/>
              <w:jc w:val="center"/>
              <w:rPr>
                <w:rFonts w:ascii="楷体" w:eastAsia="楷体" w:hAnsi="楷体" w:hint="eastAsia"/>
              </w:rPr>
            </w:pPr>
          </w:p>
        </w:tc>
      </w:tr>
    </w:tbl>
    <w:p w14:paraId="7C2C33EF" w14:textId="77777777" w:rsidR="00117889" w:rsidRPr="008F5532" w:rsidRDefault="00117889">
      <w:pPr>
        <w:ind w:firstLine="560"/>
        <w:jc w:val="left"/>
        <w:rPr>
          <w:rFonts w:ascii="宋体" w:hAnsi="宋体" w:hint="eastAsia"/>
          <w:sz w:val="28"/>
        </w:rPr>
      </w:pPr>
    </w:p>
    <w:p w14:paraId="46D16151" w14:textId="77777777" w:rsidR="00117889" w:rsidRPr="008F5532" w:rsidRDefault="00117889">
      <w:pPr>
        <w:ind w:firstLine="480"/>
        <w:jc w:val="left"/>
        <w:rPr>
          <w:rFonts w:ascii="宋体" w:hAnsi="宋体" w:hint="eastAsia"/>
        </w:rPr>
      </w:pPr>
    </w:p>
    <w:sectPr w:rsidR="00117889" w:rsidRPr="008F5532" w:rsidSect="00217F24">
      <w:pgSz w:w="11907" w:h="16840" w:code="9"/>
      <w:pgMar w:top="1304" w:right="1797" w:bottom="567" w:left="1797" w:header="720" w:footer="720" w:gutter="0"/>
      <w:cols w:space="425"/>
      <w:docGrid w:linePitch="27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7704AF" w14:textId="77777777" w:rsidR="000925E3" w:rsidRDefault="000925E3" w:rsidP="003750D2">
      <w:pPr>
        <w:ind w:firstLine="480"/>
      </w:pPr>
      <w:r>
        <w:separator/>
      </w:r>
    </w:p>
  </w:endnote>
  <w:endnote w:type="continuationSeparator" w:id="0">
    <w:p w14:paraId="04F1F3F3" w14:textId="77777777" w:rsidR="000925E3" w:rsidRDefault="000925E3" w:rsidP="003750D2">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3C9F60" w14:textId="77777777" w:rsidR="000925E3" w:rsidRDefault="000925E3" w:rsidP="003750D2">
      <w:pPr>
        <w:ind w:firstLine="480"/>
      </w:pPr>
      <w:r>
        <w:separator/>
      </w:r>
    </w:p>
  </w:footnote>
  <w:footnote w:type="continuationSeparator" w:id="0">
    <w:p w14:paraId="63E0A6FD" w14:textId="77777777" w:rsidR="000925E3" w:rsidRDefault="000925E3" w:rsidP="003750D2">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42DE0"/>
    <w:multiLevelType w:val="hybridMultilevel"/>
    <w:tmpl w:val="7104FFF6"/>
    <w:lvl w:ilvl="0" w:tplc="3C168608">
      <w:start w:val="1"/>
      <w:numFmt w:val="japaneseCounting"/>
      <w:lvlText w:val="%1、"/>
      <w:lvlJc w:val="left"/>
      <w:pPr>
        <w:tabs>
          <w:tab w:val="num" w:pos="570"/>
        </w:tabs>
        <w:ind w:left="570" w:hanging="570"/>
      </w:pPr>
      <w:rPr>
        <w:rFonts w:ascii="黑体" w:eastAsia="黑体" w:hint="eastAsia"/>
        <w:sz w:val="28"/>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2A204F17"/>
    <w:multiLevelType w:val="hybridMultilevel"/>
    <w:tmpl w:val="459CC06C"/>
    <w:lvl w:ilvl="0" w:tplc="2CF40196">
      <w:start w:val="1"/>
      <w:numFmt w:val="japaneseCounting"/>
      <w:lvlText w:val="%1、"/>
      <w:lvlJc w:val="left"/>
      <w:pPr>
        <w:tabs>
          <w:tab w:val="num" w:pos="570"/>
        </w:tabs>
        <w:ind w:left="570" w:hanging="57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34F25E25"/>
    <w:multiLevelType w:val="hybridMultilevel"/>
    <w:tmpl w:val="DAE04882"/>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E3C3544"/>
    <w:multiLevelType w:val="hybridMultilevel"/>
    <w:tmpl w:val="459C0854"/>
    <w:lvl w:ilvl="0" w:tplc="8EEA416E">
      <w:start w:val="1"/>
      <w:numFmt w:val="decimal"/>
      <w:lvlText w:val="%1、"/>
      <w:lvlJc w:val="left"/>
      <w:pPr>
        <w:tabs>
          <w:tab w:val="num" w:pos="1200"/>
        </w:tabs>
        <w:ind w:left="1200" w:hanging="360"/>
      </w:pPr>
      <w:rPr>
        <w:rFonts w:hint="eastAsia"/>
      </w:rPr>
    </w:lvl>
    <w:lvl w:ilvl="1" w:tplc="04090019" w:tentative="1">
      <w:start w:val="1"/>
      <w:numFmt w:val="lowerLetter"/>
      <w:lvlText w:val="%2)"/>
      <w:lvlJc w:val="left"/>
      <w:pPr>
        <w:tabs>
          <w:tab w:val="num" w:pos="1200"/>
        </w:tabs>
        <w:ind w:left="1200" w:hanging="420"/>
      </w:pPr>
    </w:lvl>
    <w:lvl w:ilvl="2" w:tplc="0409001B" w:tentative="1">
      <w:start w:val="1"/>
      <w:numFmt w:val="lowerRoman"/>
      <w:lvlText w:val="%3."/>
      <w:lvlJc w:val="right"/>
      <w:pPr>
        <w:tabs>
          <w:tab w:val="num" w:pos="1620"/>
        </w:tabs>
        <w:ind w:left="1620" w:hanging="420"/>
      </w:pPr>
    </w:lvl>
    <w:lvl w:ilvl="3" w:tplc="0409000F" w:tentative="1">
      <w:start w:val="1"/>
      <w:numFmt w:val="decimal"/>
      <w:lvlText w:val="%4."/>
      <w:lvlJc w:val="left"/>
      <w:pPr>
        <w:tabs>
          <w:tab w:val="num" w:pos="2040"/>
        </w:tabs>
        <w:ind w:left="2040" w:hanging="420"/>
      </w:pPr>
    </w:lvl>
    <w:lvl w:ilvl="4" w:tplc="04090019" w:tentative="1">
      <w:start w:val="1"/>
      <w:numFmt w:val="lowerLetter"/>
      <w:lvlText w:val="%5)"/>
      <w:lvlJc w:val="left"/>
      <w:pPr>
        <w:tabs>
          <w:tab w:val="num" w:pos="2460"/>
        </w:tabs>
        <w:ind w:left="2460" w:hanging="420"/>
      </w:pPr>
    </w:lvl>
    <w:lvl w:ilvl="5" w:tplc="0409001B" w:tentative="1">
      <w:start w:val="1"/>
      <w:numFmt w:val="lowerRoman"/>
      <w:lvlText w:val="%6."/>
      <w:lvlJc w:val="right"/>
      <w:pPr>
        <w:tabs>
          <w:tab w:val="num" w:pos="2880"/>
        </w:tabs>
        <w:ind w:left="2880" w:hanging="420"/>
      </w:pPr>
    </w:lvl>
    <w:lvl w:ilvl="6" w:tplc="0409000F" w:tentative="1">
      <w:start w:val="1"/>
      <w:numFmt w:val="decimal"/>
      <w:lvlText w:val="%7."/>
      <w:lvlJc w:val="left"/>
      <w:pPr>
        <w:tabs>
          <w:tab w:val="num" w:pos="3300"/>
        </w:tabs>
        <w:ind w:left="3300" w:hanging="420"/>
      </w:pPr>
    </w:lvl>
    <w:lvl w:ilvl="7" w:tplc="04090019" w:tentative="1">
      <w:start w:val="1"/>
      <w:numFmt w:val="lowerLetter"/>
      <w:lvlText w:val="%8)"/>
      <w:lvlJc w:val="left"/>
      <w:pPr>
        <w:tabs>
          <w:tab w:val="num" w:pos="3720"/>
        </w:tabs>
        <w:ind w:left="3720" w:hanging="420"/>
      </w:pPr>
    </w:lvl>
    <w:lvl w:ilvl="8" w:tplc="0409001B" w:tentative="1">
      <w:start w:val="1"/>
      <w:numFmt w:val="lowerRoman"/>
      <w:lvlText w:val="%9."/>
      <w:lvlJc w:val="right"/>
      <w:pPr>
        <w:tabs>
          <w:tab w:val="num" w:pos="4140"/>
        </w:tabs>
        <w:ind w:left="4140" w:hanging="420"/>
      </w:pPr>
    </w:lvl>
  </w:abstractNum>
  <w:abstractNum w:abstractNumId="4" w15:restartNumberingAfterBreak="0">
    <w:nsid w:val="400B1EEF"/>
    <w:multiLevelType w:val="hybridMultilevel"/>
    <w:tmpl w:val="F8D2428E"/>
    <w:lvl w:ilvl="0" w:tplc="AB045F8C">
      <w:start w:val="1"/>
      <w:numFmt w:val="japaneseCounting"/>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52CC1901"/>
    <w:multiLevelType w:val="hybridMultilevel"/>
    <w:tmpl w:val="3970EC5A"/>
    <w:lvl w:ilvl="0" w:tplc="8A6CF980">
      <w:start w:val="1"/>
      <w:numFmt w:val="japaneseCounting"/>
      <w:lvlText w:val="%1、"/>
      <w:lvlJc w:val="left"/>
      <w:pPr>
        <w:tabs>
          <w:tab w:val="num" w:pos="570"/>
        </w:tabs>
        <w:ind w:left="570" w:hanging="570"/>
      </w:pPr>
      <w:rPr>
        <w:rFonts w:hAnsi="宋体"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54A80A86"/>
    <w:multiLevelType w:val="hybridMultilevel"/>
    <w:tmpl w:val="AB0CA102"/>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5CFF786F"/>
    <w:multiLevelType w:val="hybridMultilevel"/>
    <w:tmpl w:val="547EF290"/>
    <w:lvl w:ilvl="0" w:tplc="8EEA416E">
      <w:start w:val="1"/>
      <w:numFmt w:val="decimal"/>
      <w:lvlText w:val="%1、"/>
      <w:lvlJc w:val="left"/>
      <w:pPr>
        <w:tabs>
          <w:tab w:val="num" w:pos="840"/>
        </w:tabs>
        <w:ind w:left="840" w:hanging="3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697466979">
    <w:abstractNumId w:val="4"/>
  </w:num>
  <w:num w:numId="2" w16cid:durableId="227157668">
    <w:abstractNumId w:val="6"/>
  </w:num>
  <w:num w:numId="3" w16cid:durableId="738675344">
    <w:abstractNumId w:val="3"/>
  </w:num>
  <w:num w:numId="4" w16cid:durableId="1261336478">
    <w:abstractNumId w:val="7"/>
  </w:num>
  <w:num w:numId="5" w16cid:durableId="844982825">
    <w:abstractNumId w:val="0"/>
  </w:num>
  <w:num w:numId="6" w16cid:durableId="1997606592">
    <w:abstractNumId w:val="1"/>
  </w:num>
  <w:num w:numId="7" w16cid:durableId="440565591">
    <w:abstractNumId w:val="5"/>
  </w:num>
  <w:num w:numId="8" w16cid:durableId="2512824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embedSystemFonts/>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readOnly" w:formatting="1" w:enforcement="0"/>
  <w:defaultTabStop w:val="425"/>
  <w:drawingGridHorizontalSpacing w:val="100"/>
  <w:drawingGridVerticalSpacing w:val="271"/>
  <w:displayHorizont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1022"/>
    <w:rsid w:val="000651DE"/>
    <w:rsid w:val="00080E79"/>
    <w:rsid w:val="0008585D"/>
    <w:rsid w:val="00085923"/>
    <w:rsid w:val="000925E3"/>
    <w:rsid w:val="000B4F99"/>
    <w:rsid w:val="000F31AE"/>
    <w:rsid w:val="00117889"/>
    <w:rsid w:val="00120525"/>
    <w:rsid w:val="00130112"/>
    <w:rsid w:val="00137786"/>
    <w:rsid w:val="001B5BCF"/>
    <w:rsid w:val="001C756F"/>
    <w:rsid w:val="00210A67"/>
    <w:rsid w:val="00214248"/>
    <w:rsid w:val="00217F24"/>
    <w:rsid w:val="00241C7A"/>
    <w:rsid w:val="00287FBB"/>
    <w:rsid w:val="002D4B04"/>
    <w:rsid w:val="002E0484"/>
    <w:rsid w:val="002E2206"/>
    <w:rsid w:val="002E30E8"/>
    <w:rsid w:val="002F323F"/>
    <w:rsid w:val="003043C7"/>
    <w:rsid w:val="00334DA9"/>
    <w:rsid w:val="003750D2"/>
    <w:rsid w:val="00376167"/>
    <w:rsid w:val="003C56B6"/>
    <w:rsid w:val="0042402F"/>
    <w:rsid w:val="00437105"/>
    <w:rsid w:val="004377B6"/>
    <w:rsid w:val="00444EA1"/>
    <w:rsid w:val="004652AE"/>
    <w:rsid w:val="00470EA2"/>
    <w:rsid w:val="004C4082"/>
    <w:rsid w:val="004E6B31"/>
    <w:rsid w:val="005069F4"/>
    <w:rsid w:val="00526A4A"/>
    <w:rsid w:val="00536562"/>
    <w:rsid w:val="00595F24"/>
    <w:rsid w:val="005A1E6B"/>
    <w:rsid w:val="005A3AC1"/>
    <w:rsid w:val="005F5E45"/>
    <w:rsid w:val="006072A1"/>
    <w:rsid w:val="00612E7C"/>
    <w:rsid w:val="00613335"/>
    <w:rsid w:val="006248BE"/>
    <w:rsid w:val="006323E4"/>
    <w:rsid w:val="00641C40"/>
    <w:rsid w:val="00650A3E"/>
    <w:rsid w:val="00675E5F"/>
    <w:rsid w:val="00676ECD"/>
    <w:rsid w:val="006A462B"/>
    <w:rsid w:val="006C543B"/>
    <w:rsid w:val="006D3359"/>
    <w:rsid w:val="00713785"/>
    <w:rsid w:val="00756254"/>
    <w:rsid w:val="007778D0"/>
    <w:rsid w:val="00784DCC"/>
    <w:rsid w:val="007A1F7D"/>
    <w:rsid w:val="007E0AD0"/>
    <w:rsid w:val="007E24ED"/>
    <w:rsid w:val="008046CF"/>
    <w:rsid w:val="00807B2D"/>
    <w:rsid w:val="00832D41"/>
    <w:rsid w:val="00857EAE"/>
    <w:rsid w:val="008C10CC"/>
    <w:rsid w:val="008C1668"/>
    <w:rsid w:val="008D5770"/>
    <w:rsid w:val="008D6CE9"/>
    <w:rsid w:val="008E2049"/>
    <w:rsid w:val="008F5532"/>
    <w:rsid w:val="00901CBB"/>
    <w:rsid w:val="00914070"/>
    <w:rsid w:val="009672BC"/>
    <w:rsid w:val="009B3A33"/>
    <w:rsid w:val="009D1392"/>
    <w:rsid w:val="00A21022"/>
    <w:rsid w:val="00A6161B"/>
    <w:rsid w:val="00AC1881"/>
    <w:rsid w:val="00B20101"/>
    <w:rsid w:val="00B53FED"/>
    <w:rsid w:val="00B63A0C"/>
    <w:rsid w:val="00B750B8"/>
    <w:rsid w:val="00BA2DE5"/>
    <w:rsid w:val="00BB4B8B"/>
    <w:rsid w:val="00BB7EEA"/>
    <w:rsid w:val="00BC507A"/>
    <w:rsid w:val="00BD42B3"/>
    <w:rsid w:val="00BE6DCD"/>
    <w:rsid w:val="00C0575A"/>
    <w:rsid w:val="00C36A7B"/>
    <w:rsid w:val="00C45F8C"/>
    <w:rsid w:val="00C560EC"/>
    <w:rsid w:val="00C83DC4"/>
    <w:rsid w:val="00C97E53"/>
    <w:rsid w:val="00CA5F20"/>
    <w:rsid w:val="00CB3579"/>
    <w:rsid w:val="00D17148"/>
    <w:rsid w:val="00D375B9"/>
    <w:rsid w:val="00D37BFC"/>
    <w:rsid w:val="00D65133"/>
    <w:rsid w:val="00D7319E"/>
    <w:rsid w:val="00D82E2B"/>
    <w:rsid w:val="00DD6F0C"/>
    <w:rsid w:val="00E10282"/>
    <w:rsid w:val="00E40B46"/>
    <w:rsid w:val="00EB10F8"/>
    <w:rsid w:val="00EC5C30"/>
    <w:rsid w:val="00ED0925"/>
    <w:rsid w:val="00EE1E2D"/>
    <w:rsid w:val="00F55D6C"/>
    <w:rsid w:val="00F62FB2"/>
    <w:rsid w:val="00F71C2A"/>
    <w:rsid w:val="00FF7F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44692294"/>
  <w15:chartTrackingRefBased/>
  <w15:docId w15:val="{5CD68CA6-3EB1-4036-9D33-C9FF44029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41C7A"/>
    <w:pPr>
      <w:widowControl w:val="0"/>
      <w:jc w:val="both"/>
    </w:pPr>
    <w:rPr>
      <w:kern w:val="2"/>
      <w:sz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Balloon Text"/>
    <w:basedOn w:val="a"/>
    <w:semiHidden/>
    <w:rsid w:val="000F31AE"/>
    <w:rPr>
      <w:sz w:val="18"/>
      <w:szCs w:val="18"/>
    </w:rPr>
  </w:style>
  <w:style w:type="paragraph" w:styleId="a4">
    <w:name w:val="header"/>
    <w:basedOn w:val="a"/>
    <w:link w:val="Char"/>
    <w:rsid w:val="003750D2"/>
    <w:pPr>
      <w:pBdr>
        <w:bottom w:val="single" w:sz="6" w:space="1" w:color="auto"/>
      </w:pBdr>
      <w:tabs>
        <w:tab w:val="center" w:pos="4153"/>
        <w:tab w:val="right" w:pos="8306"/>
      </w:tabs>
      <w:snapToGrid w:val="0"/>
      <w:jc w:val="center"/>
    </w:pPr>
    <w:rPr>
      <w:sz w:val="18"/>
      <w:szCs w:val="18"/>
    </w:rPr>
  </w:style>
  <w:style w:type="character" w:customStyle="1" w:styleId="Char">
    <w:name w:val="页眉 Char"/>
    <w:link w:val="a4"/>
    <w:rsid w:val="003750D2"/>
    <w:rPr>
      <w:kern w:val="2"/>
      <w:sz w:val="18"/>
      <w:szCs w:val="18"/>
    </w:rPr>
  </w:style>
  <w:style w:type="paragraph" w:styleId="a5">
    <w:name w:val="footer"/>
    <w:basedOn w:val="a"/>
    <w:link w:val="Char0"/>
    <w:rsid w:val="003750D2"/>
    <w:pPr>
      <w:tabs>
        <w:tab w:val="center" w:pos="4153"/>
        <w:tab w:val="right" w:pos="8306"/>
      </w:tabs>
      <w:snapToGrid w:val="0"/>
      <w:jc w:val="left"/>
    </w:pPr>
    <w:rPr>
      <w:sz w:val="18"/>
      <w:szCs w:val="18"/>
    </w:rPr>
  </w:style>
  <w:style w:type="character" w:customStyle="1" w:styleId="Char0">
    <w:name w:val="页脚 Char"/>
    <w:link w:val="a5"/>
    <w:rsid w:val="003750D2"/>
    <w:rPr>
      <w:kern w:val="2"/>
      <w:sz w:val="18"/>
      <w:szCs w:val="18"/>
    </w:rPr>
  </w:style>
  <w:style w:type="paragraph" w:customStyle="1" w:styleId="a6">
    <w:name w:val="条"/>
    <w:basedOn w:val="a"/>
    <w:rsid w:val="009672BC"/>
    <w:pPr>
      <w:snapToGrid w:val="0"/>
      <w:spacing w:beforeLines="50" w:before="50" w:afterLines="50" w:after="50" w:line="300" w:lineRule="auto"/>
    </w:pPr>
    <w:rPr>
      <w:rFonts w:eastAsia="黑体"/>
      <w:sz w:val="28"/>
      <w:szCs w:val="24"/>
    </w:rPr>
  </w:style>
  <w:style w:type="paragraph" w:customStyle="1" w:styleId="a7">
    <w:name w:val="正文格式"/>
    <w:basedOn w:val="a"/>
    <w:link w:val="a8"/>
    <w:qFormat/>
    <w:rsid w:val="00130112"/>
    <w:pPr>
      <w:spacing w:line="360" w:lineRule="auto"/>
      <w:ind w:firstLineChars="200" w:firstLine="200"/>
    </w:pPr>
    <w:rPr>
      <w:szCs w:val="24"/>
    </w:rPr>
  </w:style>
  <w:style w:type="paragraph" w:customStyle="1" w:styleId="a9">
    <w:name w:val="参考文献"/>
    <w:basedOn w:val="a"/>
    <w:link w:val="aa"/>
    <w:qFormat/>
    <w:rsid w:val="00A6161B"/>
    <w:pPr>
      <w:spacing w:line="360" w:lineRule="auto"/>
      <w:ind w:left="420" w:hanging="420"/>
      <w:textAlignment w:val="baseline"/>
    </w:pPr>
    <w:rPr>
      <w:rFonts w:cs="楷体_GB2312"/>
      <w:szCs w:val="24"/>
    </w:rPr>
  </w:style>
  <w:style w:type="character" w:customStyle="1" w:styleId="a8">
    <w:name w:val="正文格式 字符"/>
    <w:link w:val="a7"/>
    <w:rsid w:val="00130112"/>
    <w:rPr>
      <w:kern w:val="2"/>
      <w:sz w:val="24"/>
      <w:szCs w:val="24"/>
    </w:rPr>
  </w:style>
  <w:style w:type="character" w:customStyle="1" w:styleId="aa">
    <w:name w:val="参考文献 字符"/>
    <w:link w:val="a9"/>
    <w:rsid w:val="00A6161B"/>
    <w:rPr>
      <w:rFonts w:cs="楷体_GB2312"/>
      <w:kern w:val="2"/>
      <w:sz w:val="24"/>
      <w:szCs w:val="24"/>
    </w:rPr>
  </w:style>
  <w:style w:type="paragraph" w:styleId="ab">
    <w:name w:val="Revision"/>
    <w:hidden/>
    <w:uiPriority w:val="99"/>
    <w:semiHidden/>
    <w:rsid w:val="00D65133"/>
    <w:rPr>
      <w:kern w:val="2"/>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635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312</Words>
  <Characters>328</Characters>
  <Application>Microsoft Office Word</Application>
  <DocSecurity>0</DocSecurity>
  <Lines>82</Lines>
  <Paragraphs>45</Paragraphs>
  <ScaleCrop>false</ScaleCrop>
  <Company>Tongji University</Company>
  <LinksUpToDate>false</LinksUpToDate>
  <CharactersWithSpaces>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附录1</dc:title>
  <dc:subject/>
  <dc:creator>JW112</dc:creator>
  <cp:keywords/>
  <cp:lastModifiedBy>卫恒 张</cp:lastModifiedBy>
  <cp:revision>2</cp:revision>
  <cp:lastPrinted>2026-05-08T02:40:00Z</cp:lastPrinted>
  <dcterms:created xsi:type="dcterms:W3CDTF">2026-09-23T01:24:00Z</dcterms:created>
  <dcterms:modified xsi:type="dcterms:W3CDTF">2026-09-23T01:24:00Z</dcterms:modified>
</cp:coreProperties>
</file>