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w:t>
      </w:r>
      <w:r>
        <w:rPr>
          <w:rFonts w:ascii="Times New Roman" w:hAnsi="Times New Roman" w:cs="Times New Roman" w:eastAsia="宋体"/>
          <w:b w:val="0"/>
          <w:i w:val="0"/>
          <w:color w:val="000000"/>
          <w:sz w:val="24"/>
        </w:rPr>
        <w:t>已完成构型设计的</w:t>
      </w:r>
      <w:r>
        <w:rPr>
          <w:rFonts w:ascii="Times New Roman" w:hAnsi="Times New Roman" w:cs="Times New Roman" w:eastAsia="宋体"/>
          <w:b w:val="0"/>
          <w:i w:val="0"/>
          <w:color w:val="000000"/>
          <w:sz w:val="24"/>
        </w:rPr>
        <w:t>八推进器开架式（Open-frame）水下航行器（Unmanned Underwater Vehicle / Remotely Operated Vehicle，UUV/ROV）实验平台</w:t>
      </w:r>
      <w:r>
        <w:rPr>
          <w:rFonts w:ascii="Times New Roman" w:hAnsi="Times New Roman" w:cs="Times New Roman" w:eastAsia="宋体"/>
          <w:b w:val="0"/>
          <w:i w:val="0"/>
          <w:color w:val="000000"/>
          <w:sz w:val="24"/>
        </w:rPr>
        <w:t>方案及相关结构数据</w:t>
      </w:r>
      <w:r>
        <w:rPr>
          <w:rFonts w:ascii="Times New Roman" w:hAnsi="Times New Roman" w:cs="Times New Roman" w:eastAsia="宋体"/>
          <w:b w:val="0"/>
          <w:i w:val="0"/>
          <w:color w:val="000000"/>
          <w:sz w:val="24"/>
        </w:rPr>
        <w:t>开展研究。</w:t>
      </w:r>
      <w:r>
        <w:rPr>
          <w:rFonts w:ascii="Times New Roman" w:hAnsi="Times New Roman" w:cs="Times New Roman" w:eastAsia="宋体"/>
          <w:b w:val="0"/>
          <w:i w:val="0"/>
          <w:color w:val="000000"/>
          <w:sz w:val="24"/>
        </w:rPr>
        <w:t>该平台</w:t>
      </w:r>
      <w:r>
        <w:rPr>
          <w:rFonts w:ascii="Times New Roman" w:hAnsi="Times New Roman" w:cs="Times New Roman" w:eastAsia="宋体"/>
          <w:b w:val="0"/>
          <w:i w:val="0"/>
          <w:color w:val="000000"/>
          <w:sz w:val="24"/>
        </w:rPr>
        <w:t>具备八推进器空间对称与矢量倾斜布置的硬件驱动能力，但在流体环境中实现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w:t>
      </w:r>
      <w:r>
        <w:rPr>
          <w:rFonts w:ascii="Times New Roman" w:hAnsi="Times New Roman" w:cs="Times New Roman" w:eastAsia="宋体"/>
          <w:b w:val="0"/>
          <w:i w:val="0"/>
          <w:color w:val="000000"/>
          <w:sz w:val="24"/>
        </w:rPr>
        <w:t>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w:t>
      </w:r>
      <w:r>
        <w:rPr>
          <w:rFonts w:ascii="Times New Roman" w:hAnsi="Times New Roman" w:cs="Times New Roman" w:eastAsia="宋体"/>
          <w:b w:val="0"/>
          <w:i w:val="0"/>
          <w:color w:val="000000"/>
          <w:sz w:val="24"/>
        </w:rPr>
        <w:t>与后续毕业论文的核心章节脉络</w:t>
      </w:r>
      <w:r>
        <w:rPr>
          <w:rFonts w:ascii="Times New Roman" w:hAnsi="Times New Roman" w:cs="Times New Roman" w:eastAsia="宋体"/>
          <w:b w:val="0"/>
          <w:i w:val="0"/>
          <w:color w:val="000000"/>
          <w:sz w:val="24"/>
        </w:rPr>
        <w:t>，本课题应完成的主要研究内容与拟解决的关键问题包括以下四个方面：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i w:val="0"/>
          <w:color w:val="000000"/>
          <w:sz w:val="24"/>
        </w:rPr>
        <w:t>（对应理论模型构建基础）</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i w:val="0"/>
          <w:color w:val="000000"/>
          <w:sz w:val="24"/>
        </w:rPr>
        <w:t>（对应模型参数获取与精度核准）</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i w:val="0"/>
          <w:color w:val="000000"/>
          <w:sz w:val="24"/>
        </w:rPr>
        <w:t>（对应控制算法与执行器解算）</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i w:val="0"/>
          <w:color w:val="000000"/>
          <w:sz w:val="24"/>
        </w:rPr>
        <w:t>（对应软件在环集成与多工况评价）</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w:t>
      </w:r>
      <w:r>
        <w:rPr>
          <w:rFonts w:ascii="Times New Roman" w:hAnsi="Times New Roman" w:cs="Times New Roman" w:eastAsia="宋体"/>
          <w:b w:val="0"/>
          <w:i w:val="0"/>
          <w:color w:val="000000"/>
          <w:sz w:val="24"/>
        </w:rPr>
        <w:t>，已有平台包含水平面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