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w:t>
      </w:r>
      <w:r>
        <w:rPr>
          <w:rFonts w:ascii="Times New Roman" w:hAnsi="Times New Roman" w:cs="Times New Roman" w:eastAsia="宋体"/>
          <w:b w:val="0"/>
          <w:i w:val="0"/>
          <w:color w:val="000000"/>
          <w:sz w:val="24"/>
        </w:rPr>
        <w:t>实验平台方案及相关结构数据开展研究。</w:t>
      </w:r>
      <w:r>
        <w:rPr>
          <w:rFonts w:ascii="Times New Roman" w:hAnsi="Times New Roman" w:cs="Times New Roman" w:eastAsia="宋体"/>
          <w:b w:val="0"/>
          <w:i w:val="0"/>
          <w:color w:val="000000"/>
          <w:sz w:val="24"/>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控制的上述局限，将辨识得到的航行器动力学模型引入控制器设计、与实时状态误差反馈相结合，成为提升水下航行器闭环控制性能的重要途径。如图 1 所示，通用模型闭环控制器由“基于动力学模型的动态特性补偿”与“基于状态误差的闭环反馈”两部分协同构成。围绕如何有效利用动力学模型信息，国内外学者发展了多种代表性方法：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结合航行器动力学模型与高增益状态观测器的输出反馈运动控制系统，有效提升了深度、航向和水平面位置的闭环控制品质</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在控制分配综述中系统总结了无约束广义逆、加权伪逆、有界优化及再分配方法的理论体系 </w:t>
      </w:r>
      <w:hyperlink w:anchor="_Ref_Paper_12" w:history="1">
        <w:r>
          <w:rPr>
            <w:rFonts w:ascii="Times New Roman" w:hAnsi="Times New Roman" w:cs="Times New Roman" w:eastAsia="宋体"/>
            <w:sz w:val="24"/>
            <w:szCs w:val="24"/>
            <w:color w:val="000000"/>
            <w:vertAlign w:val="superscript"/>
          </w:rPr>
          <w:t>[12, 13]</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依据平台八推进器真实几何构型建立准确的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结合任务书确定的四个核心研究模块，将各模块常规工程做法的局限性、国内外代表性改进方法与本课题拟采取的研究方案归纳对比如下（见表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本课题四大研究模块的现状局限、代表性方法与拟采取方案对比</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tblHeader/>
          <w:cantSplit/>
        </w:trPr>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研究模块</w:t>
            </w:r>
          </w:p>
        </w:tc>
        <w:tc>
          <w:tcPr>
            <w:tcW w:type="dxa" w:w="2154"/>
            <w:vAlign w:val="center"/>
          </w:tcPr>
          <w:p>
            <w:pPr>
              <w:spacing w:before="40" w:after="40" w:line="288" w:lineRule="auto"/>
              <w:ind w:firstLine="0"/>
              <w:jc w:val="center"/>
            </w:pPr>
            <w:r/>
            <w:r>
              <w:rPr>
                <w:rFonts w:ascii="Times New Roman" w:hAnsi="Times New Roman" w:cs="Times New Roman" w:eastAsia="黑体"/>
                <w:b/>
                <w:i w:val="0"/>
                <w:color w:val="000000"/>
                <w:sz w:val="19"/>
              </w:rPr>
              <w:t>常规做法与主要局限</w:t>
            </w:r>
          </w:p>
        </w:tc>
        <w:tc>
          <w:tcPr>
            <w:tcW w:type="dxa" w:w="2438"/>
            <w:vAlign w:val="center"/>
          </w:tcPr>
          <w:p>
            <w:pPr>
              <w:spacing w:before="40" w:after="40" w:line="288" w:lineRule="auto"/>
              <w:ind w:firstLine="0"/>
              <w:jc w:val="center"/>
            </w:pPr>
            <w:r/>
            <w:r>
              <w:rPr>
                <w:rFonts w:ascii="Times New Roman" w:hAnsi="Times New Roman" w:cs="Times New Roman" w:eastAsia="黑体"/>
                <w:b/>
                <w:i w:val="0"/>
                <w:color w:val="000000"/>
                <w:sz w:val="19"/>
              </w:rPr>
              <w:t>国内外代表性改进方法</w:t>
            </w:r>
          </w:p>
        </w:tc>
        <w:tc>
          <w:tcPr>
            <w:tcW w:type="dxa" w:w="2665"/>
            <w:vAlign w:val="center"/>
          </w:tcPr>
          <w:p>
            <w:pPr>
              <w:spacing w:before="40" w:after="40" w:line="288" w:lineRule="auto"/>
              <w:ind w:firstLine="0"/>
              <w:jc w:val="center"/>
            </w:pPr>
            <w:r/>
            <w:r>
              <w:rPr>
                <w:rFonts w:ascii="Times New Roman" w:hAnsi="Times New Roman" w:cs="Times New Roman" w:eastAsia="黑体"/>
                <w:b/>
                <w:i w:val="0"/>
                <w:color w:val="000000"/>
                <w:sz w:val="19"/>
              </w:rPr>
              <w:t>本课题拟采取的研究方案</w:t>
            </w:r>
          </w:p>
        </w:tc>
      </w:tr>
      <w:tr>
        <w:trPr>
          <w:cantSplit/>
        </w:trPr>
        <w:tc>
          <w:tcPr>
            <w:tcW w:type="dxa" w:w="1474"/>
            <w:vAlign w:val="center"/>
          </w:tcPr>
          <w:p>
            <w:pPr>
              <w:spacing w:before="40" w:after="40" w:line="288" w:lineRule="auto"/>
              <w:ind w:firstLine="0"/>
              <w:jc w:val="center"/>
            </w:pPr>
            <w:r/>
            <w:r>
              <w:rPr>
                <w:rFonts w:ascii="Times New Roman" w:hAnsi="Times New Roman" w:cs="Times New Roman" w:eastAsia="宋体"/>
                <w:b/>
                <w:i w:val="0"/>
                <w:color w:val="000000"/>
                <w:sz w:val="19"/>
              </w:rPr>
              <w:t>1. 动力学建模与系统辨识</w:t>
            </w:r>
          </w:p>
        </w:tc>
        <w:tc>
          <w:tcPr>
            <w:tcW w:type="dxa" w:w="2154"/>
            <w:vAlign w:val="center"/>
          </w:tcPr>
          <w:p>
            <w:pPr>
              <w:spacing w:before="40" w:after="40" w:line="288" w:lineRule="auto"/>
              <w:ind w:firstLine="0"/>
              <w:jc w:val="left"/>
            </w:pPr>
            <w:r/>
            <w:r>
              <w:rPr>
                <w:rFonts w:ascii="Times New Roman" w:hAnsi="Times New Roman" w:cs="Times New Roman" w:eastAsia="宋体"/>
                <w:b w:val="0"/>
                <w:i w:val="0"/>
                <w:color w:val="000000"/>
                <w:sz w:val="19"/>
              </w:rPr>
              <w:t>纯理论经验公式估算复杂构型水动力参数误差较大；大型平面运动机构（PMM）拖曳水池试验成本高、周期长</w:t>
            </w:r>
          </w:p>
        </w:tc>
        <w:tc>
          <w:tcPr>
            <w:tcW w:type="dxa" w:w="2438"/>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采用 Fossen 六自由度动力学方程结构，对水动力矩阵做合理简化，结合自由衰减、阶跃激励等原位试验数据辨识主导水动力系数 </w:t>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w:t>
            </w:r>
            <w:r>
              <w:rPr>
                <w:rFonts w:ascii="Times New Roman" w:hAnsi="Times New Roman" w:cs="Times New Roman" w:eastAsia="宋体"/>
                <w:b w:val="0"/>
                <w:i w:val="0"/>
                <w:color w:val="000000"/>
                <w:sz w:val="19"/>
              </w:rPr>
              <w:t>[8]</w:t>
            </w:r>
          </w:p>
        </w:tc>
        <w:tc>
          <w:tcPr>
            <w:tcW w:type="dxa" w:w="2665"/>
            <w:vAlign w:val="center"/>
          </w:tcPr>
          <w:p>
            <w:pPr>
              <w:spacing w:before="40" w:after="40" w:line="288" w:lineRule="auto"/>
              <w:ind w:firstLine="0"/>
              <w:jc w:val="left"/>
            </w:pPr>
            <w:r/>
            <w:r>
              <w:rPr>
                <w:rFonts w:ascii="Times New Roman" w:hAnsi="Times New Roman" w:cs="Times New Roman" w:eastAsia="宋体"/>
                <w:b w:val="0"/>
                <w:i w:val="0"/>
                <w:color w:val="000000"/>
                <w:sz w:val="19"/>
              </w:rPr>
              <w:t>套用六自由度标准方程，由三维模型与硬件资料确定刚体先验参数及推进器静态映射，对附加质量与阻尼矩阵做对角化简化，利用特征响应数据通过最小二乘/曲线拟合辨识未知参数并验证</w:t>
            </w:r>
          </w:p>
        </w:tc>
      </w:tr>
      <w:tr>
        <w:trPr>
          <w:cantSplit/>
        </w:trPr>
        <w:tc>
          <w:tcPr>
            <w:tcW w:type="dxa" w:w="1474"/>
            <w:vAlign w:val="center"/>
          </w:tcPr>
          <w:p>
            <w:pPr>
              <w:spacing w:before="40" w:after="40" w:line="288" w:lineRule="auto"/>
              <w:ind w:firstLine="0"/>
              <w:jc w:val="center"/>
            </w:pPr>
            <w:r/>
            <w:r>
              <w:rPr>
                <w:rFonts w:ascii="Times New Roman" w:hAnsi="Times New Roman" w:cs="Times New Roman" w:eastAsia="宋体"/>
                <w:b/>
                <w:i w:val="0"/>
                <w:color w:val="000000"/>
                <w:sz w:val="19"/>
              </w:rPr>
              <w:t>2. 水下航行器运动控制</w:t>
            </w:r>
          </w:p>
        </w:tc>
        <w:tc>
          <w:tcPr>
            <w:tcW w:type="dxa" w:w="215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传统无模型独立通道 PID 控制，忽略非线性重浮力恢复力矩与多轴水动力耦合，较大机动与水流扰动下易超调、响应滞后 </w:t>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2438"/>
            <w:vAlign w:val="center"/>
          </w:tcPr>
          <w:p>
            <w:pPr>
              <w:spacing w:before="40" w:after="40" w:line="288" w:lineRule="auto"/>
              <w:ind w:firstLine="0"/>
              <w:jc w:val="left"/>
            </w:pPr>
            <w:r/>
            <w:r>
              <w:rPr>
                <w:rFonts w:ascii="Times New Roman" w:hAnsi="Times New Roman" w:cs="Times New Roman" w:eastAsia="宋体"/>
                <w:b w:val="0"/>
                <w:i w:val="0"/>
                <w:color w:val="000000"/>
                <w:sz w:val="19"/>
              </w:rPr>
              <w:t>引入动力学模型信息与状态反馈相结合（如模型前馈补偿、状态观测输出反馈、反馈线性化、增量动态逆 INDI 等）</w:t>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w:t>
            </w:r>
            <w:r>
              <w:rPr>
                <w:rFonts w:ascii="Times New Roman" w:hAnsi="Times New Roman" w:cs="Times New Roman" w:eastAsia="宋体"/>
                <w:b w:val="0"/>
                <w:i w:val="0"/>
                <w:color w:val="000000"/>
                <w:sz w:val="19"/>
              </w:rPr>
              <w:t>[11]</w:t>
            </w:r>
          </w:p>
        </w:tc>
        <w:tc>
          <w:tcPr>
            <w:tcW w:type="dxa" w:w="2665"/>
            <w:vAlign w:val="center"/>
          </w:tcPr>
          <w:p>
            <w:pPr>
              <w:spacing w:before="40" w:after="40" w:line="288" w:lineRule="auto"/>
              <w:ind w:firstLine="0"/>
              <w:jc w:val="left"/>
            </w:pPr>
            <w:r/>
            <w:r>
              <w:rPr>
                <w:rFonts w:ascii="Times New Roman" w:hAnsi="Times New Roman" w:cs="Times New Roman" w:eastAsia="宋体"/>
                <w:b w:val="0"/>
                <w:i w:val="0"/>
                <w:color w:val="000000"/>
                <w:sz w:val="19"/>
              </w:rPr>
              <w:t>采用“辨识模型动态特性补偿 + 实时状态误差反馈”闭环控制思路（保留具体模型控制律比选空间），以传统无模型 PID 为基准开展多工况跟踪与抗流扰对比</w:t>
            </w:r>
          </w:p>
        </w:tc>
      </w:tr>
      <w:tr>
        <w:trPr>
          <w:cantSplit/>
        </w:trPr>
        <w:tc>
          <w:tcPr>
            <w:tcW w:type="dxa" w:w="1474"/>
            <w:vAlign w:val="center"/>
          </w:tcPr>
          <w:p>
            <w:pPr>
              <w:spacing w:before="40" w:after="40" w:line="288" w:lineRule="auto"/>
              <w:ind w:firstLine="0"/>
              <w:jc w:val="center"/>
            </w:pPr>
            <w:r/>
            <w:r>
              <w:rPr>
                <w:rFonts w:ascii="Times New Roman" w:hAnsi="Times New Roman" w:cs="Times New Roman" w:eastAsia="宋体"/>
                <w:b/>
                <w:i w:val="0"/>
                <w:color w:val="000000"/>
                <w:sz w:val="19"/>
              </w:rPr>
              <w:t>3. 八推进器控制分配</w:t>
            </w:r>
          </w:p>
        </w:tc>
        <w:tc>
          <w:tcPr>
            <w:tcW w:type="dxa" w:w="2154"/>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固定比例混控表或无约束伪逆分配加直接硬截断（Clipping），推进器饱和时易导致合成广义力与力矩方向失真</w:t>
            </w:r>
          </w:p>
        </w:tc>
        <w:tc>
          <w:tcPr>
            <w:tcW w:type="dxa" w:w="2438"/>
            <w:vAlign w:val="center"/>
          </w:tcPr>
          <w:p>
            <w:pPr>
              <w:spacing w:before="40" w:after="40" w:line="288" w:lineRule="auto"/>
              <w:ind w:firstLine="0"/>
              <w:jc w:val="left"/>
            </w:pPr>
            <w:r/>
            <w:r>
              <w:rPr>
                <w:rFonts w:ascii="Times New Roman" w:hAnsi="Times New Roman" w:cs="Times New Roman" w:eastAsia="宋体"/>
                <w:b w:val="0"/>
                <w:i w:val="0"/>
                <w:color w:val="000000"/>
                <w:sz w:val="19"/>
              </w:rPr>
              <w:t>基于空间几何映射矩阵的有界控制分配方法（加权伪逆、保方向缩放再分配、可行方向优化、多级分配等）</w:t>
            </w:r>
            <w:r>
              <w:rPr>
                <w:rFonts w:ascii="Times New Roman" w:hAnsi="Times New Roman" w:cs="Times New Roman" w:eastAsia="宋体"/>
                <w:b w:val="0"/>
                <w:i w:val="0"/>
                <w:color w:val="000000"/>
                <w:sz w:val="19"/>
              </w:rPr>
              <w:t>[12]</w:t>
            </w:r>
            <w:r>
              <w:rPr>
                <w:rFonts w:ascii="Times New Roman" w:hAnsi="Times New Roman" w:cs="Times New Roman" w:eastAsia="宋体"/>
                <w:b w:val="0"/>
                <w:i w:val="0"/>
                <w:color w:val="000000"/>
                <w:sz w:val="19"/>
              </w:rPr>
              <w:t>–</w:t>
            </w:r>
            <w:r>
              <w:rPr>
                <w:rFonts w:ascii="Times New Roman" w:hAnsi="Times New Roman" w:cs="Times New Roman" w:eastAsia="宋体"/>
                <w:b w:val="0"/>
                <w:i w:val="0"/>
                <w:color w:val="000000"/>
                <w:sz w:val="19"/>
              </w:rPr>
              <w:t>[15]</w:t>
            </w:r>
          </w:p>
        </w:tc>
        <w:tc>
          <w:tcPr>
            <w:tcW w:type="dxa" w:w="2665"/>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推导八推进器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，引入基本推力范围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 xml:space="preserve"> 约束处理策略，并与无约束直接硬截断对比分析分配误差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p>
        </w:tc>
      </w:tr>
      <w:tr>
        <w:trPr>
          <w:cantSplit/>
        </w:trPr>
        <w:tc>
          <w:tcPr>
            <w:tcW w:type="dxa" w:w="1474"/>
            <w:vAlign w:val="center"/>
          </w:tcPr>
          <w:p>
            <w:pPr>
              <w:spacing w:before="40" w:after="40" w:line="288" w:lineRule="auto"/>
              <w:ind w:firstLine="0"/>
              <w:jc w:val="center"/>
            </w:pPr>
            <w:r/>
            <w:r>
              <w:rPr>
                <w:rFonts w:ascii="Times New Roman" w:hAnsi="Times New Roman" w:cs="Times New Roman" w:eastAsia="宋体"/>
                <w:b/>
                <w:i w:val="0"/>
                <w:color w:val="000000"/>
                <w:sz w:val="19"/>
              </w:rPr>
              <w:t>4. 闭环仿真与系统验证</w:t>
            </w:r>
          </w:p>
        </w:tc>
        <w:tc>
          <w:tcPr>
            <w:tcW w:type="dxa" w:w="2154"/>
            <w:vAlign w:val="center"/>
          </w:tcPr>
          <w:p>
            <w:pPr>
              <w:spacing w:before="40" w:after="40" w:line="288" w:lineRule="auto"/>
              <w:ind w:firstLine="0"/>
              <w:jc w:val="left"/>
            </w:pPr>
            <w:r/>
            <w:r>
              <w:rPr>
                <w:rFonts w:ascii="Times New Roman" w:hAnsi="Times New Roman" w:cs="Times New Roman" w:eastAsia="宋体"/>
                <w:b w:val="0"/>
                <w:i w:val="0"/>
                <w:color w:val="000000"/>
                <w:sz w:val="19"/>
              </w:rPr>
              <w:t>纯离线数学脚本（如纯 MATLAB/Python）仿真，脱离嵌入式实时多任务调度与异步通信约束，向实机移植重构工作量大</w:t>
            </w:r>
          </w:p>
        </w:tc>
        <w:tc>
          <w:tcPr>
            <w:tcW w:type="dxa" w:w="2438"/>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基于开源嵌入式飞控软件架构（PX4）与 uORB 异步微消息总线的软件在环（SITL）闭环验证体系 </w:t>
            </w:r>
            <w:r>
              <w:rPr>
                <w:rFonts w:ascii="Times New Roman" w:hAnsi="Times New Roman" w:cs="Times New Roman" w:eastAsia="宋体"/>
                <w:b w:val="0"/>
                <w:i w:val="0"/>
                <w:color w:val="000000"/>
                <w:sz w:val="19"/>
              </w:rPr>
              <w:t>[16]</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[17]</w:t>
            </w:r>
          </w:p>
        </w:tc>
        <w:tc>
          <w:tcPr>
            <w:tcW w:type="dxa" w:w="2665"/>
            <w:vAlign w:val="center"/>
          </w:tcPr>
          <w:p>
            <w:pPr>
              <w:spacing w:before="40" w:after="40" w:line="288" w:lineRule="auto"/>
              <w:ind w:firstLine="0"/>
              <w:jc w:val="left"/>
            </w:pPr>
            <w:r/>
            <w:r>
              <w:rPr>
                <w:rFonts w:ascii="Times New Roman" w:hAnsi="Times New Roman" w:cs="Times New Roman" w:eastAsia="宋体"/>
                <w:b w:val="0"/>
                <w:i w:val="0"/>
                <w:color w:val="000000"/>
                <w:sz w:val="19"/>
              </w:rPr>
              <w:t>在 PX4/SITL 环境中集成辨识后的六自由度模型、运动控制模块与八推进器控制分配模块，完成典型运动工况与适量流扰下的闭环性能验证</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综合上述四个模块的研究现状与表 1 对比分析，可以提炼出对本课题的关键启示：一是直接套用成熟的六自由度动力学方程框架并做对角化工程简化，利用三维结构数据确定刚体参数，再通过特征动态响应数据拟合未知水动力系数，能够以较低成本获取满足控制器设计与仿真需求的实用化模型；二是针对传统无模型 PID 控制易超调及无约束伪逆硬截断易失真的工程痛点，在控制层引入辨识模型的动态补偿、在分配层引入推进器推力范围约束处理，并保留具体模型控制算法的横向比选余地，兼具性能提升潜力与工程稳健性；三是将动力学模型、运动控制与八推进器控制分配统一集成至 PX4/SITL 软件架构下开展闭环验证，能够有效弥合离线算法设计与嵌入式工程实现之间的鸿沟。</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围绕上述预期目标与任务书要求，本课题的主要研究内容划分为以下四个核心模块：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w:t>
      </w:r>
      <w:r>
        <w:rPr>
          <w:rFonts w:ascii="Times New Roman" w:hAnsi="Times New Roman" w:cs="Times New Roman" w:eastAsia="宋体"/>
          <w:b w:val="0"/>
          <w:i w:val="0"/>
          <w:color w:val="000000"/>
          <w:sz w:val="24"/>
        </w:rPr>
        <w:t>套用六自由度运动学与动力学标准方程</w:t>
      </w:r>
      <w:r>
        <w:rPr>
          <w:rFonts w:ascii="Times New Roman" w:hAnsi="Times New Roman" w:cs="Times New Roman" w:eastAsia="宋体"/>
          <w:b w:val="0"/>
          <w:i w:val="0"/>
          <w:color w:val="000000"/>
          <w:sz w:val="24"/>
        </w:rPr>
        <w:t>，考虑刚体惯性、附加质量、科氏力与向心力、水动力阻尼以及重力与浮力恢复作用等主要动力学因素；</w:t>
      </w:r>
      <w:r>
        <w:rPr>
          <w:rFonts w:ascii="Times New Roman" w:hAnsi="Times New Roman" w:cs="Times New Roman" w:eastAsia="宋体"/>
          <w:b w:val="0"/>
          <w:i w:val="0"/>
          <w:color w:val="000000"/>
          <w:sz w:val="24"/>
        </w:rPr>
        <w:t>结合平台三维结构资料确定刚体质量、转动惯量与重浮心位置等先验参数，建立单推进器控制输入到推力输出的静态映射关系并明确基本推力范围。在此基础上，对附加质量与水动力阻尼矩阵做工程对角化简化，明确系统辨识的激励输入、状态输出及所需数据关系，结合平台特征工况（如阶跃推力或自由衰减）动态响应数据，采用最小二乘或曲线拟合方法对关键未知水动力参数进行辨识与修正，并通过代表性动态响应验证模型与数据之间的偏差，得到用于运动控制设计和 PX4/SITL 闭环仿真的航行器动力学模型。</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以辨识验证后的航行器动力学模型为基础，针对传统无模型 PID 控制在多自由度耦合与流扰下易超调的局限，结合航行器动力学特性补偿与实时状态误差反馈构建闭环运动控制系统（可根据辨识模型特性灵活采用模型前馈补偿、反馈线性化或增量动态逆等模型控制律），根据参考状态与当前状态之间的误差计算航行器所需的期望广义力和力矩，实现姿态、深度和航向等基本运动状态的稳定闭环控制；以传统无模型 PID 控制为对比基准，选取代表性运动工况分析跟踪性能和动态特性，并考察外部水流扰动对闭环控制性能的影响。</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rPr>
        <w:t xml:space="preserve">根据已有八推进器平台（水平面 4 台矢量倾斜布置、垂直面 4 台垂向对称布置）的推进器安装位置、推力方向及力臂关系，建立各推进器推力与航行器广义力、力矩之间的映射关系及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针对常规无约束伪逆分配在推进器超限时直接硬截断易造成合成力矩方向失真的问题，结合推进器实际输出范围引入推力边界约束处理策略，将运动控制器输出的期望广义力和力矩转换为各推进器推力指令，并与无约束直接硬截断方案对比，结合控制分配误差和各推进器输出饱和情况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仿真环境中构建由航行器动力学模型、运动控制模块和八推进器控制分配模块组成的闭环仿真系统，通过 uORB 异步消息总线完成必要的状态信息、控制量和推进器指令交互；</w:t>
      </w:r>
      <w:r>
        <w:rPr>
          <w:rFonts w:ascii="Times New Roman" w:hAnsi="Times New Roman" w:cs="Times New Roman" w:eastAsia="宋体"/>
          <w:b w:val="0"/>
          <w:i w:val="0"/>
          <w:color w:val="000000"/>
          <w:sz w:val="24"/>
        </w:rPr>
        <w:t>设置空间定点悬停、姿态稳定、定深控制与定航控制等代表性运动工况及适量外部水流扰动条件，考察闭环系统的动态特性和控制效果，结合位置/姿态跟踪误差、动态响应指标及控制分配误差进行量化性能分析，验证闭环系统的控制效果。</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对应上述四个研究模块，本课题拟采取的具体研究方法如下：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套用标准六自由度运动学与动力学方程：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w:t>
      </w:r>
      <w:r>
        <w:rPr>
          <w:rFonts w:ascii="Times New Roman" w:hAnsi="Times New Roman" w:cs="Times New Roman" w:eastAsia="宋体"/>
          <w:b w:val="0"/>
          <w:i w:val="0"/>
          <w:color w:val="000000"/>
          <w:sz w:val="24"/>
        </w:rPr>
        <w:t xml:space="preserve">其中，刚体惯性矩阵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oMath>
      <w:r>
        <w:rPr>
          <w:rFonts w:ascii="Times New Roman" w:hAnsi="Times New Roman" w:cs="Times New Roman" w:eastAsia="宋体"/>
          <w:b w:val="0"/>
          <w:i w:val="0"/>
          <w:color w:val="000000"/>
          <w:sz w:val="24"/>
        </w:rPr>
        <w:t xml:space="preserve"> 与恢复力矩项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由平台三维模型与质量属性直接确定；单推进器采用控制输入到推力输出的静态拟合映射关系，并明确推力上下界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考虑便携式水下航行器低速运动特性与机体对称性，忽略次要的非对角交叉水动力耦合项，将附加质量矩阵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及线性、二次水动力阻尼矩阵简化为对角矩阵，提炼出各自由度待辨识的关键未知水动力参数集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。在单自由度特征激励（如阶跃推力或自由衰减）下，将式 (1) 整理为关于未知参数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的参数化辨识方程，利用推力输入与状态响应数据通过最小二乘法或非线性最小二乘曲线拟合求解参数集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；随后将辨识参数代回六自由度模型，对比模型仿真输出与验证数据的响应曲线偏差，获得经验证的航行器动力学模型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以辨识验证后的航行器动力学模型为基础</w:t>
      </w:r>
      <w:r>
        <w:rPr>
          <w:rFonts w:ascii="Times New Roman" w:hAnsi="Times New Roman" w:cs="Times New Roman" w:eastAsia="宋体"/>
          <w:b w:val="0"/>
          <w:i w:val="0"/>
          <w:color w:val="000000"/>
          <w:sz w:val="24"/>
        </w:rPr>
        <w:t xml:space="preserve">，设参考运动状态为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采用“动力学模型特性补偿 + 实时状态误差反馈”的复合闭环控制思路计算期望广义力和力矩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为基于辨识动力学模型计算的已知动态特性补偿项（用于前馈抵消重浮力恢复力矩、主导水动力阻尼或惯性耦合效应），</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为基于状态误差的闭环反馈控制项。该设计思路不将控制器锁死于单一固定算法，可根据辨识模型的准确度与控制需求灵活设计具体的模型前馈补偿、反馈线性化或增量动态逆等模型控制形式，并以传统无模型 PID 控制（即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）作为对比基准，开展多工况跟踪与抗流扰性能对比分析。</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在基础广义逆/加权伪逆求解框架上，引入推进器推力范围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约束处理策略（如保方向比例缩放、饱和自由度再分配或有界优化求解），抑制推进器超限引起的合成力矩方向畸变；通过与无约束伪逆直接硬截断基准进行对比，量化分析控制分配残差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与各推进器推力饱和情况，再结合单推进器静态推力映射转换为执行机构控制输入。</w:t>
      </w:r>
    </w:p>
    <w:p>
      <w:pPr>
        <w:pStyle w:val="a7"/>
        <w:jc w:val="both"/>
        <w:spacing w:line="360" w:lineRule="auto"/>
        <w:ind w:firstLineChars="200" w:firstLine="480"/>
      </w:pPr>
      <w:r>
        <w:rPr>
          <w:rFonts w:ascii="Times New Roman" w:hAnsi="Times New Roman" w:cs="Times New Roman" w:eastAsia="宋体"/>
          <w:b/>
          <w:i w:val="0"/>
          <w:color w:val="000000"/>
          <w:sz w:val="24"/>
        </w:rPr>
        <w:t>4） PX4/SITL闭环仿真验证方法：</w:t>
      </w:r>
      <w:r>
        <w:rPr>
          <w:rFonts w:ascii="Times New Roman" w:hAnsi="Times New Roman" w:cs="Times New Roman" w:eastAsia="宋体"/>
          <w:b w:val="0"/>
          <w:i w:val="0"/>
          <w:color w:val="000000"/>
          <w:sz w:val="24"/>
        </w:rPr>
        <w:t>利用PX4模块化软件架构与uORB发布/订阅消息机制，在SITL环境中将辨识验证后的水下航行器动力学模型、运动控制模块与八推进器控制分配模块集成为闭环系统，</w:t>
      </w:r>
      <w:r>
        <w:rPr>
          <w:rFonts w:ascii="Times New Roman" w:hAnsi="Times New Roman" w:cs="Times New Roman" w:eastAsia="宋体"/>
          <w:b w:val="0"/>
          <w:i w:val="0"/>
          <w:color w:val="000000"/>
          <w:sz w:val="24"/>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 xml:space="preserve">，综合跟踪误差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验证闭环系统性能。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