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spacing w:line="240" w:lineRule="auto" w:before="0" w:after="0"/>
              <w:jc w:val="center"/>
            </w:pPr>
            <w:r/>
            <w:r>
              <w:rPr>
                <w:rFonts w:ascii="Times New Roman" w:hAnsi="Times New Roman" w:cs="Times New Roman" w:eastAsia="宋体"/>
                <w:b w:val="0"/>
                <w:i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2026</w:t>
            </w:r>
          </w:p>
        </w:tc>
        <w:tc>
          <w:tcPr>
            <w:tcW w:w="850" w:type="dxa"/>
            <w:vAlign w:val="bottom"/>
          </w:tcPr>
          <w:p w14:paraId="7314B03C"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年</w:t>
            </w:r>
          </w:p>
        </w:tc>
        <w:tc>
          <w:tcPr>
            <w:tcW w:w="727"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10</w:t>
            </w:r>
          </w:p>
        </w:tc>
        <w:tc>
          <w:tcPr>
            <w:tcW w:w="446" w:type="dxa"/>
            <w:vAlign w:val="bottom"/>
          </w:tcPr>
          <w:p w14:paraId="26CF890B"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月</w:t>
            </w:r>
          </w:p>
        </w:tc>
        <w:tc>
          <w:tcPr>
            <w:tcW w:w="629" w:type="dxa"/>
            <w:tcBorders>
              <w:bottom w:val="single" w:sz="4" w:space="0" w:color="auto"/>
            </w:tcBorders>
            <w:vAlign w:val="bottom"/>
          </w:tcPr>
          <w:p>
            <w:pPr>
              <w:spacing w:line="240" w:lineRule="auto" w:before="0" w:after="0"/>
              <w:jc w:val="center"/>
            </w:pPr>
            <w:r>
              <w:rPr>
                <w:rFonts w:ascii="Times New Roman" w:hAnsi="Times New Roman" w:cs="Times New Roman" w:eastAsia="宋体"/>
                <w:b w:val="0"/>
                <w:i w:val="0"/>
                <w:sz w:val="24"/>
              </w:rPr>
              <w:t>9</w:t>
            </w:r>
          </w:p>
        </w:tc>
        <w:tc>
          <w:tcPr>
            <w:tcW w:w="466" w:type="dxa"/>
            <w:vAlign w:val="bottom"/>
          </w:tcPr>
          <w:p w14:paraId="7A0D0955" w14:textId="77777777" w:rsidR="003C56B6" w:rsidRPr="00470EA2" w:rsidRDefault="003C56B6" w:rsidP="00536562">
            <w:pPr>
              <w:spacing w:line="240" w:lineRule="auto" w:before="0" w:after="0"/>
              <w:jc w:val="center"/>
              <w:rPr>
                <w:rFonts w:ascii="宋体" w:hAnsi="宋体" w:hint="eastAsia"/>
                <w:sz w:val="28"/>
                <w:szCs w:val="28"/>
              </w:rPr>
            </w:pPr>
            <w:r w:rsidRPr="00470EA2">
              <w:rPr>
                <w:rFonts w:ascii="Times New Roman" w:hAnsi="Times New Roman" w:hint="eastAsia" w:cs="Times New Roman" w:eastAsia="宋体"/>
                <w:b w:val="0"/>
                <w:i w:val="0"/>
                <w:sz w:val="24"/>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firstLineChars="20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14:paraId="26F346DF" w14:textId="77777777" w:rsidR="00241C7A" w:rsidRDefault="006323E4" w:rsidP="005F5E45">
      <w:pPr>
        <w:pStyle w:val="a6"/>
        <w:spacing w:before="120" w:after="120" w:line="360" w:lineRule="exact" w:beforeLines="50" w:afterLines="50"/>
        <w:ind w:firstLine="0" w:firstLineChars="0"/>
        <w:rPr>
          <w:sz w:val="24"/>
        </w:rPr>
      </w:pPr>
      <w:r>
        <w:rPr>
          <w:rFonts w:hint="eastAsia"/>
          <w:sz w:val="24"/>
        </w:rPr>
        <w:t>1</w:t>
      </w:r>
      <w:r w:rsidR="00C36A7B" w:rsidRPr="00914070">
        <w:rPr>
          <w:sz w:val="24"/>
        </w:rPr>
        <w:t xml:space="preserve">． </w:t>
      </w:r>
      <w:r w:rsidR="009672BC" w:rsidRPr="00334DA9">
        <w:rPr>
          <w:sz w:val="24"/>
        </w:rPr>
        <w:t>课题来源及研究的目的和意义</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i w:val="0"/>
          <w:sz w:val="24"/>
          <w:vertAlign w:val="superscript"/>
        </w:rPr>
        <w:t>[1]</w:t>
      </w:r>
      <w:r>
        <w:rPr>
          <w:rFonts w:ascii="Times New Roman" w:hAnsi="Times New Roman" w:cs="Times New Roman" w:eastAsia="宋体"/>
          <w:b w:val="0"/>
          <w:i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i w:val="0"/>
          <w:sz w:val="24"/>
          <w:vertAlign w:val="superscript"/>
        </w:rPr>
        <w:t>[2]</w:t>
      </w:r>
      <w:r>
        <w:rPr>
          <w:rFonts w:ascii="Times New Roman" w:hAnsi="Times New Roman" w:cs="Times New Roman" w:eastAsia="宋体"/>
          <w:b w:val="0"/>
          <w:i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i w:val="0"/>
          <w:sz w:val="24"/>
          <w:vertAlign w:val="superscript"/>
        </w:rPr>
        <w:t>[4]</w:t>
      </w:r>
      <w:r>
        <w:rPr>
          <w:rFonts w:ascii="Times New Roman" w:hAnsi="Times New Roman" w:cs="Times New Roman" w:eastAsia="宋体"/>
          <w:b w:val="0"/>
          <w:i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i w:val="0"/>
          <w:sz w:val="24"/>
          <w:vertAlign w:val="superscript"/>
        </w:rPr>
        <w:t>[5]</w:t>
      </w:r>
      <w:r>
        <w:rPr>
          <w:rFonts w:ascii="Times New Roman" w:hAnsi="Times New Roman" w:cs="Times New Roman" w:eastAsia="宋体"/>
          <w:b w:val="0"/>
          <w:i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i w:val="0"/>
          <w:sz w:val="24"/>
          <w:vertAlign w:val="superscript"/>
        </w:rPr>
        <w:t>[6]</w:t>
      </w:r>
      <w:r>
        <w:rPr>
          <w:rFonts w:ascii="Times New Roman" w:hAnsi="Times New Roman" w:cs="Times New Roman" w:eastAsia="宋体"/>
          <w:b w:val="0"/>
          <w:i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，不仅无法有效补偿流扰，反而会诱发剧烈的姿态失控与翻滚发散，导致航行器丧失作业能力乃至引发机体碰撞损毁。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exact" w:beforeLines="50" w:afterLines="50"/>
        <w:ind w:firstLine="0" w:firstLineChars="0"/>
        <w:rPr>
          <w:rFonts w:hint="eastAsia"/>
          <w:sz w:val="24"/>
        </w:rPr>
      </w:pPr>
      <w:r w:rsidRPr="00914070">
        <w:rPr>
          <w:sz w:val="24"/>
        </w:rPr>
        <w:t>2</w:t>
      </w:r>
      <w:r w:rsidRPr="00914070">
        <w:rPr>
          <w:sz w:val="24"/>
        </w:rPr>
        <w:t>． 国内外在该方向的研究现状</w:t>
      </w:r>
      <w:r w:rsidR="006323E4" w:rsidRPr="00914070">
        <w:rPr>
          <w:rFonts w:hint="eastAsia"/>
          <w:sz w:val="24"/>
        </w:rPr>
        <w:t>和发展趋势</w:t>
      </w:r>
      <w:r w:rsidR="00F71C2A">
        <w:rPr>
          <w:sz w:val="24"/>
        </w:rPr>
      </w:r>
    </w:p>
    <w:permEnd w:id="1319923814"/>
    <w:p>
      <w:pPr>
        <w:pStyle w:val="a7"/>
        <w:spacing w:line="360" w:lineRule="exact" w:beforeLines="0" w:before="0" w:afterLines="0" w:after="0"/>
        <w:ind w:firstLine="480" w:firstLineChars="200"/>
      </w:pPr>
      <w:r>
        <w:rPr>
          <w:rFonts w:ascii="Times New Roman" w:hAnsi="Times New Roman" w:cs="Times New Roman" w:eastAsia="黑体"/>
          <w:b/>
          <w:i w:val="0"/>
          <w:sz w:val="24"/>
        </w:rPr>
        <w:t>2.1 水下航行器六自由度机理建模与参数辨识研究现状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i w:val="0"/>
          <w:sz w:val="24"/>
          <w:vertAlign w:val="superscript"/>
        </w:rPr>
        <w:t>[10]</w:t>
      </w:r>
      <w:r>
        <w:rPr>
          <w:rFonts w:ascii="Times New Roman" w:hAnsi="Times New Roman" w:cs="Times New Roman" w:eastAsia="宋体"/>
          <w:b w:val="0"/>
          <w:i w:val="0"/>
          <w:sz w:val="24"/>
        </w:rPr>
        <w:t>；严卫生等人</w:t>
      </w:r>
      <w:r>
        <w:rPr>
          <w:rFonts w:ascii="Times New Roman" w:hAnsi="Times New Roman" w:cs="Times New Roman" w:eastAsia="宋体"/>
          <w:b w:val="0"/>
          <w:i w:val="0"/>
          <w:sz w:val="24"/>
          <w:vertAlign w:val="superscript"/>
        </w:rPr>
        <w:t>[11]</w:t>
      </w:r>
      <w:r>
        <w:rPr>
          <w:rFonts w:ascii="Times New Roman" w:hAnsi="Times New Roman" w:cs="Times New Roman" w:eastAsia="宋体"/>
          <w:b w:val="0"/>
          <w:i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i w:val="0"/>
          <w:sz w:val="24"/>
          <w:vertAlign w:val="superscript"/>
        </w:rPr>
        <w:t>[12]</w:t>
      </w:r>
      <w:r>
        <w:rPr>
          <w:rFonts w:ascii="Times New Roman" w:hAnsi="Times New Roman" w:cs="Times New Roman" w:eastAsia="宋体"/>
          <w:b w:val="0"/>
          <w:i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i w:val="0"/>
          <w:sz w:val="24"/>
          <w:vertAlign w:val="superscript"/>
        </w:rPr>
        <w:t>[13]</w:t>
      </w:r>
      <w:r>
        <w:rPr>
          <w:rFonts w:ascii="Times New Roman" w:hAnsi="Times New Roman" w:cs="Times New Roman" w:eastAsia="宋体"/>
          <w:b w:val="0"/>
          <w:i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i w:val="0"/>
          <w:sz w:val="24"/>
          <w:vertAlign w:val="superscript"/>
        </w:rPr>
        <w:t>[15]</w:t>
      </w:r>
      <w:r>
        <w:rPr>
          <w:rFonts w:ascii="Times New Roman" w:hAnsi="Times New Roman" w:cs="Times New Roman" w:eastAsia="宋体"/>
          <w:b w:val="0"/>
          <w:i w:val="0"/>
          <w:sz w:val="24"/>
        </w:rPr>
        <w:t xml:space="preserve"> 针对复杂外形航行器拓展了空间耦合阻尼矩阵的试验建模方法，Ross 等人</w:t>
      </w:r>
      <w:r>
        <w:rPr>
          <w:rFonts w:ascii="Times New Roman" w:hAnsi="Times New Roman" w:cs="Times New Roman" w:eastAsia="宋体"/>
          <w:b w:val="0"/>
          <w:i w:val="0"/>
          <w:sz w:val="24"/>
          <w:vertAlign w:val="superscript"/>
        </w:rPr>
        <w:t>[16]</w:t>
      </w:r>
      <w:r>
        <w:rPr>
          <w:rFonts w:ascii="Times New Roman" w:hAnsi="Times New Roman" w:cs="Times New Roman" w:eastAsia="宋体"/>
          <w:b w:val="0"/>
          <w:i w:val="0"/>
          <w:sz w:val="24"/>
        </w:rPr>
        <w:t xml:space="preserve"> 与 Avila 等人</w:t>
      </w:r>
      <w:r>
        <w:rPr>
          <w:rFonts w:ascii="Times New Roman" w:hAnsi="Times New Roman" w:cs="Times New Roman" w:eastAsia="宋体"/>
          <w:b w:val="0"/>
          <w:i w:val="0"/>
          <w:sz w:val="24"/>
          <w:vertAlign w:val="superscript"/>
        </w:rPr>
        <w:t>[17]</w:t>
      </w:r>
      <w:r>
        <w:rPr>
          <w:rFonts w:ascii="Times New Roman" w:hAnsi="Times New Roman" w:cs="Times New Roman" w:eastAsia="宋体"/>
          <w:b w:val="0"/>
          <w:i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i w:val="0"/>
          <w:sz w:val="24"/>
          <w:vertAlign w:val="superscript"/>
        </w:rPr>
        <w:t>[19]</w:t>
      </w:r>
      <w:r>
        <w:rPr>
          <w:rFonts w:ascii="Times New Roman" w:hAnsi="Times New Roman" w:cs="Times New Roman" w:eastAsia="宋体"/>
          <w:b w:val="0"/>
          <w:i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i w:val="0"/>
          <w:sz w:val="24"/>
          <w:vertAlign w:val="superscript"/>
        </w:rPr>
        <w:t>[20]</w:t>
      </w:r>
      <w:r>
        <w:rPr>
          <w:rFonts w:ascii="Times New Roman" w:hAnsi="Times New Roman" w:cs="Times New Roman" w:eastAsia="宋体"/>
          <w:b w:val="0"/>
          <w:i w:val="0"/>
          <w:sz w:val="24"/>
        </w:rPr>
        <w:t xml:space="preserve"> 与动态系统稀疏辨识（SINDy）</w:t>
      </w:r>
      <w:r>
        <w:rPr>
          <w:rFonts w:ascii="Times New Roman" w:hAnsi="Times New Roman" w:cs="Times New Roman" w:eastAsia="宋体"/>
          <w:b w:val="0"/>
          <w:i w:val="0"/>
          <w:sz w:val="24"/>
          <w:vertAlign w:val="superscript"/>
        </w:rPr>
        <w:t>[21]</w:t>
      </w:r>
      <w:r>
        <w:rPr>
          <w:rFonts w:ascii="Times New Roman" w:hAnsi="Times New Roman" w:cs="Times New Roman" w:eastAsia="宋体"/>
          <w:b w:val="0"/>
          <w:i w:val="0"/>
          <w:sz w:val="24"/>
        </w:rPr>
        <w:t xml:space="preserve"> 等将先验物理定律与数据驱动相结合的非线性辨识方法展现了良好潜力；Chen 等人</w:t>
      </w:r>
      <w:r>
        <w:rPr>
          <w:rFonts w:ascii="Times New Roman" w:hAnsi="Times New Roman" w:cs="Times New Roman" w:eastAsia="宋体"/>
          <w:b w:val="0"/>
          <w:i w:val="0"/>
          <w:sz w:val="24"/>
          <w:vertAlign w:val="superscript"/>
        </w:rPr>
        <w:t>[22]</w:t>
      </w:r>
      <w:r>
        <w:rPr>
          <w:rFonts w:ascii="Times New Roman" w:hAnsi="Times New Roman" w:cs="Times New Roman" w:eastAsia="宋体"/>
          <w:b w:val="0"/>
          <w:i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i w:val="0"/>
          <w:sz w:val="24"/>
          <w:vertAlign w:val="superscript"/>
        </w:rPr>
        <w:t>[23]</w:t>
      </w:r>
      <w:r>
        <w:rPr>
          <w:rFonts w:ascii="Times New Roman" w:hAnsi="Times New Roman" w:cs="Times New Roman" w:eastAsia="宋体"/>
          <w:b w:val="0"/>
          <w:i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exact" w:beforeLines="0" w:before="0" w:afterLines="0" w:after="0"/>
        <w:ind w:firstLine="480" w:firstLineChars="200"/>
      </w:pPr>
      <w:r>
        <w:rPr>
          <w:rFonts w:ascii="Times New Roman" w:hAnsi="Times New Roman" w:cs="Times New Roman" w:eastAsia="黑体"/>
          <w:b/>
          <w:i w:val="0"/>
          <w:sz w:val="24"/>
        </w:rPr>
        <w:t>2.2 水下航行器运动控制与动态补偿方法研究现状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i w:val="0"/>
          <w:sz w:val="24"/>
          <w:vertAlign w:val="superscript"/>
        </w:rPr>
        <w:t>[24]</w:t>
      </w:r>
      <w:r>
        <w:rPr>
          <w:rFonts w:ascii="Times New Roman" w:hAnsi="Times New Roman" w:cs="Times New Roman" w:eastAsia="宋体"/>
          <w:b w:val="0"/>
          <w:i w:val="0"/>
          <w:sz w:val="24"/>
        </w:rPr>
        <w:t>；朱大奇与孙兵</w:t>
      </w:r>
      <w:r>
        <w:rPr>
          <w:rFonts w:ascii="Times New Roman" w:hAnsi="Times New Roman" w:cs="Times New Roman" w:eastAsia="宋体"/>
          <w:b w:val="0"/>
          <w:i w:val="0"/>
          <w:sz w:val="24"/>
          <w:vertAlign w:val="superscript"/>
        </w:rPr>
        <w:t>[25]</w:t>
      </w:r>
      <w:r>
        <w:rPr>
          <w:rFonts w:ascii="Times New Roman" w:hAnsi="Times New Roman" w:cs="Times New Roman" w:eastAsia="宋体"/>
          <w:b w:val="0"/>
          <w:i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i w:val="0"/>
          <w:sz w:val="24"/>
          <w:vertAlign w:val="superscript"/>
        </w:rPr>
        <w:t>[26]</w:t>
      </w:r>
      <w:r>
        <w:rPr>
          <w:rFonts w:ascii="Times New Roman" w:hAnsi="Times New Roman" w:cs="Times New Roman" w:eastAsia="宋体"/>
          <w:b w:val="0"/>
          <w:i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i w:val="0"/>
          <w:sz w:val="24"/>
          <w:vertAlign w:val="superscript"/>
        </w:rPr>
        <w:t>[27]</w:t>
      </w:r>
      <w:r>
        <w:rPr>
          <w:rFonts w:ascii="Times New Roman" w:hAnsi="Times New Roman" w:cs="Times New Roman" w:eastAsia="宋体"/>
          <w:b w:val="0"/>
          <w:i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i w:val="0"/>
          <w:sz w:val="24"/>
          <w:vertAlign w:val="superscript"/>
        </w:rPr>
        <w:t>[28]</w:t>
      </w:r>
      <w:r>
        <w:rPr>
          <w:rFonts w:ascii="Times New Roman" w:hAnsi="Times New Roman" w:cs="Times New Roman" w:eastAsia="宋体"/>
          <w:b w:val="0"/>
          <w:i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i w:val="0"/>
          <w:sz w:val="24"/>
          <w:vertAlign w:val="superscript"/>
        </w:rPr>
        <w:t>[29]</w:t>
      </w:r>
      <w:r>
        <w:rPr>
          <w:rFonts w:ascii="Times New Roman" w:hAnsi="Times New Roman" w:cs="Times New Roman" w:eastAsia="宋体"/>
          <w:b w:val="0"/>
          <w:i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随着非线性系统理论的发展，李雅普诺夫递归反步控制（Backstepping）方法在 20 世纪 90 年代后得到系统研究</w:t>
      </w:r>
      <w:r>
        <w:rPr>
          <w:rFonts w:ascii="Times New Roman" w:hAnsi="Times New Roman" w:cs="Times New Roman" w:eastAsia="宋体"/>
          <w:b w:val="0"/>
          <w:i w:val="0"/>
          <w:sz w:val="24"/>
          <w:vertAlign w:val="superscript"/>
        </w:rPr>
        <w:t>[30]</w:t>
      </w:r>
      <w:r>
        <w:rPr>
          <w:rFonts w:ascii="Times New Roman" w:hAnsi="Times New Roman" w:cs="Times New Roman" w:eastAsia="宋体"/>
          <w:b w:val="0"/>
          <w:i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i w:val="0"/>
          <w:sz w:val="24"/>
          <w:vertAlign w:val="superscript"/>
        </w:rPr>
        <w:t>[31]</w:t>
      </w:r>
      <w:r>
        <w:rPr>
          <w:rFonts w:ascii="Times New Roman" w:hAnsi="Times New Roman" w:cs="Times New Roman" w:eastAsia="宋体"/>
          <w:b w:val="0"/>
          <w:i w:val="0"/>
          <w:sz w:val="24"/>
        </w:rPr>
        <w:t xml:space="preserve"> 奠定了增量动态逆在欠驱动飞行器中的鲁棒控制基础，Slawik 等人</w:t>
      </w:r>
      <w:r>
        <w:rPr>
          <w:rFonts w:ascii="Times New Roman" w:hAnsi="Times New Roman" w:cs="Times New Roman" w:eastAsia="宋体"/>
          <w:b w:val="0"/>
          <w:i w:val="0"/>
          <w:sz w:val="24"/>
          <w:vertAlign w:val="superscript"/>
        </w:rPr>
        <w:t>[32]</w:t>
      </w:r>
      <w:r>
        <w:rPr>
          <w:rFonts w:ascii="Times New Roman" w:hAnsi="Times New Roman" w:cs="Times New Roman" w:eastAsia="宋体"/>
          <w:b w:val="0"/>
          <w:i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i w:val="0"/>
          <w:sz w:val="24"/>
          <w:vertAlign w:val="superscript"/>
        </w:rPr>
        <w:t>[33]</w:t>
      </w:r>
      <w:r>
        <w:rPr>
          <w:rFonts w:ascii="Times New Roman" w:hAnsi="Times New Roman" w:cs="Times New Roman" w:eastAsia="宋体"/>
          <w:b w:val="0"/>
          <w:i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i w:val="0"/>
          <w:sz w:val="24"/>
          <w:vertAlign w:val="superscript"/>
        </w:rPr>
        <w:t>[34]</w:t>
      </w:r>
      <w:r>
        <w:rPr>
          <w:rFonts w:ascii="Times New Roman" w:hAnsi="Times New Roman" w:cs="Times New Roman" w:eastAsia="宋体"/>
          <w:b w:val="0"/>
          <w:i w:val="0"/>
          <w:sz w:val="24"/>
        </w:rPr>
        <w:t xml:space="preserve"> 建立了考虑轮廓误差的预测优化模型；Torrente 等人</w:t>
      </w:r>
      <w:r>
        <w:rPr>
          <w:rFonts w:ascii="Times New Roman" w:hAnsi="Times New Roman" w:cs="Times New Roman" w:eastAsia="宋体"/>
          <w:b w:val="0"/>
          <w:i w:val="0"/>
          <w:sz w:val="24"/>
          <w:vertAlign w:val="superscript"/>
        </w:rPr>
        <w:t>[35]</w:t>
      </w:r>
      <w:r>
        <w:rPr>
          <w:rFonts w:ascii="Times New Roman" w:hAnsi="Times New Roman" w:cs="Times New Roman" w:eastAsia="宋体"/>
          <w:b w:val="0"/>
          <w:i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i w:val="0"/>
          <w:sz w:val="24"/>
          <w:vertAlign w:val="superscript"/>
        </w:rPr>
        <w:t>[36]</w:t>
      </w:r>
      <w:r>
        <w:rPr>
          <w:rFonts w:ascii="Times New Roman" w:hAnsi="Times New Roman" w:cs="Times New Roman" w:eastAsia="宋体"/>
          <w:b w:val="0"/>
          <w:i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i w:val="0"/>
          <w:sz w:val="24"/>
          <w:vertAlign w:val="superscript"/>
        </w:rPr>
        <w:t>[37]</w:t>
      </w:r>
      <w:r>
        <w:rPr>
          <w:rFonts w:ascii="Times New Roman" w:hAnsi="Times New Roman" w:cs="Times New Roman" w:eastAsia="宋体"/>
          <w:b w:val="0"/>
          <w:i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exact" w:beforeLines="0" w:before="0" w:afterLines="0" w:after="0"/>
        <w:ind w:firstLine="480" w:firstLineChars="200"/>
      </w:pPr>
      <w:r>
        <w:rPr>
          <w:rFonts w:ascii="Times New Roman" w:hAnsi="Times New Roman" w:cs="Times New Roman" w:eastAsia="黑体"/>
          <w:b/>
          <w:i w:val="0"/>
          <w:sz w:val="24"/>
        </w:rPr>
        <w:t>2.3 过驱动多推进器控制分配与推力饱和处理研究现状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i w:val="0"/>
          <w:sz w:val="24"/>
          <w:vertAlign w:val="superscript"/>
        </w:rPr>
        <w:t>[38]</w:t>
      </w:r>
      <w:r>
        <w:rPr>
          <w:rFonts w:ascii="Times New Roman" w:hAnsi="Times New Roman" w:cs="Times New Roman" w:eastAsia="宋体"/>
          <w:b w:val="0"/>
          <w:i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i w:val="0"/>
          <w:sz w:val="24"/>
          <w:vertAlign w:val="superscript"/>
        </w:rPr>
        <w:t>[39]</w:t>
      </w:r>
      <w:r>
        <w:rPr>
          <w:rFonts w:ascii="Times New Roman" w:hAnsi="Times New Roman" w:cs="Times New Roman" w:eastAsia="宋体"/>
          <w:b w:val="0"/>
          <w:i w:val="0"/>
          <w:sz w:val="24"/>
        </w:rPr>
        <w:t xml:space="preserve"> 提出了基于主动集（Active Set）算法的高效二次规划分配框架，程卫平等</w:t>
      </w:r>
      <w:r>
        <w:rPr>
          <w:rFonts w:ascii="Times New Roman" w:hAnsi="Times New Roman" w:cs="Times New Roman" w:eastAsia="宋体"/>
          <w:b w:val="0"/>
          <w:i w:val="0"/>
          <w:sz w:val="24"/>
          <w:vertAlign w:val="superscript"/>
        </w:rPr>
        <w:t>[40]</w:t>
      </w:r>
      <w:r>
        <w:rPr>
          <w:rFonts w:ascii="Times New Roman" w:hAnsi="Times New Roman" w:cs="Times New Roman" w:eastAsia="宋体"/>
          <w:b w:val="0"/>
          <w:i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i w:val="0"/>
          <w:sz w:val="24"/>
          <w:vertAlign w:val="superscript"/>
        </w:rPr>
        <w:t>[41]</w:t>
      </w:r>
      <w:r>
        <w:rPr>
          <w:rFonts w:ascii="Times New Roman" w:hAnsi="Times New Roman" w:cs="Times New Roman" w:eastAsia="宋体"/>
          <w:b w:val="0"/>
          <w:i w:val="0"/>
          <w:sz w:val="24"/>
        </w:rPr>
        <w:t>。</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i w:val="0"/>
          <w:sz w:val="24"/>
          <w:vertAlign w:val="superscript"/>
        </w:rPr>
        <w:t>[42]</w:t>
      </w:r>
      <w:r>
        <w:rPr>
          <w:rFonts w:ascii="Times New Roman" w:hAnsi="Times New Roman" w:cs="Times New Roman" w:eastAsia="宋体"/>
          <w:b w:val="0"/>
          <w:i w:val="0"/>
          <w:sz w:val="24"/>
        </w:rPr>
        <w:t>。Brunke 等人</w:t>
      </w:r>
      <w:r>
        <w:rPr>
          <w:rFonts w:ascii="Times New Roman" w:hAnsi="Times New Roman" w:cs="Times New Roman" w:eastAsia="宋体"/>
          <w:b w:val="0"/>
          <w:i w:val="0"/>
          <w:sz w:val="24"/>
          <w:vertAlign w:val="superscript"/>
        </w:rPr>
        <w:t>[43]</w:t>
      </w:r>
      <w:r>
        <w:rPr>
          <w:rFonts w:ascii="Times New Roman" w:hAnsi="Times New Roman" w:cs="Times New Roman" w:eastAsia="宋体"/>
          <w:b w:val="0"/>
          <w:i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i w:val="0"/>
          <w:sz w:val="24"/>
          <w:vertAlign w:val="superscript"/>
        </w:rPr>
        <w:t>[44]</w:t>
      </w:r>
      <w:r>
        <w:rPr>
          <w:rFonts w:ascii="Times New Roman" w:hAnsi="Times New Roman" w:cs="Times New Roman" w:eastAsia="宋体"/>
          <w:b w:val="0"/>
          <w:i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exact" w:beforeLines="0" w:before="0" w:afterLines="0" w:after="0"/>
        <w:ind w:firstLine="480" w:firstLineChars="200"/>
      </w:pPr>
      <w:r>
        <w:rPr>
          <w:rFonts w:ascii="Times New Roman" w:hAnsi="Times New Roman" w:cs="Times New Roman" w:eastAsia="黑体"/>
          <w:b/>
          <w:i w:val="0"/>
          <w:sz w:val="24"/>
        </w:rPr>
        <w:t>2.4 现有研究局限与发展趋势</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14:paraId="2109F3BF"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permStart w:id="1741359920" w:edGrp="everyone"/>
      <w:r w:rsidRPr="00C45F8C">
        <w:rPr>
          <w:rFonts w:ascii="黑体" w:hAnsi="黑体" w:hint="eastAsia"/>
          <w:sz w:val="24"/>
        </w:rPr>
        <w:t>1</w:t>
      </w:r>
      <w:r w:rsidR="00C36A7B" w:rsidRPr="00C45F8C">
        <w:rPr>
          <w:rFonts w:ascii="黑体" w:hAnsi="黑体"/>
          <w:sz w:val="24"/>
        </w:rPr>
        <w:t xml:space="preserve">． </w:t>
      </w:r>
      <w:r w:rsidRPr="00C45F8C">
        <w:rPr>
          <w:rFonts w:ascii="黑体" w:hAnsi="黑体" w:hint="eastAsia"/>
          <w:sz w:val="24"/>
        </w:rPr>
        <w:t>主要研究内容</w:t>
      </w:r>
      <w:r w:rsidR="00914070" w:rsidRPr="00C45F8C">
        <w:rPr>
          <w:rFonts w:ascii="黑体" w:hAnsi="黑体" w:hint="eastAsia"/>
          <w:sz w:val="24"/>
        </w:rPr>
      </w:r>
    </w:p>
    <w:p>
      <w:pPr>
        <w:pStyle w:val="a7"/>
        <w:spacing w:line="360" w:lineRule="exact" w:beforeLines="0" w:before="0" w:afterLines="0" w:after="0"/>
        <w:ind w:firstLine="480" w:firstLineChars="200"/>
      </w:pPr>
      <w:r>
        <w:rPr>
          <w:rFonts w:ascii="Times New Roman" w:hAnsi="Times New Roman" w:cs="Times New Roman" w:eastAsia="黑体"/>
          <w:b/>
          <w:i w:val="0"/>
          <w:sz w:val="24"/>
        </w:rPr>
        <w:t>1.1 预期研究目标</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（1）</w:t>
      </w:r>
      <w:r>
        <w:rPr>
          <w:rFonts w:ascii="Times New Roman" w:hAnsi="Times New Roman" w:cs="Times New Roman" w:eastAsia="宋体"/>
          <w:b/>
          <w:i w:val="0"/>
          <w:sz w:val="24"/>
        </w:rPr>
        <w:t>建立水下航行器六自由度机理动力学模型与低成本参数辨识流程</w:t>
      </w:r>
      <w:r>
        <w:rPr>
          <w:rFonts w:ascii="Times New Roman" w:hAnsi="Times New Roman" w:cs="Times New Roman" w:eastAsia="宋体"/>
          <w:b w:val="0"/>
          <w:i w:val="0"/>
          <w:sz w:val="24"/>
        </w:rPr>
        <w:t>。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（2）</w:t>
      </w:r>
      <w:r>
        <w:rPr>
          <w:rFonts w:ascii="Times New Roman" w:hAnsi="Times New Roman" w:cs="Times New Roman" w:eastAsia="宋体"/>
          <w:b/>
          <w:i w:val="0"/>
          <w:sz w:val="24"/>
        </w:rPr>
        <w:t>构建兼顾动态补偿精度与低计算复杂度的闭环运动控制系统</w:t>
      </w:r>
      <w:r>
        <w:rPr>
          <w:rFonts w:ascii="Times New Roman" w:hAnsi="Times New Roman" w:cs="Times New Roman" w:eastAsia="宋体"/>
          <w:b w:val="0"/>
          <w:i w:val="0"/>
          <w:sz w:val="24"/>
        </w:rPr>
        <w:t>。在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（3）</w:t>
      </w:r>
      <w:r>
        <w:rPr>
          <w:rFonts w:ascii="Times New Roman" w:hAnsi="Times New Roman" w:cs="Times New Roman" w:eastAsia="宋体"/>
          <w:b/>
          <w:i w:val="0"/>
          <w:sz w:val="24"/>
        </w:rPr>
        <w:t>构建推力受限工况下的八推进器力矩优先控制分配机制</w:t>
      </w:r>
      <w:r>
        <w:rPr>
          <w:rFonts w:ascii="Times New Roman" w:hAnsi="Times New Roman" w:cs="Times New Roman" w:eastAsia="宋体"/>
          <w:b w:val="0"/>
          <w:i w:val="0"/>
          <w:sz w:val="24"/>
        </w:rPr>
        <w:t>。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（4）</w:t>
      </w:r>
      <w:r>
        <w:rPr>
          <w:rFonts w:ascii="Times New Roman" w:hAnsi="Times New Roman" w:cs="Times New Roman" w:eastAsia="宋体"/>
          <w:b/>
          <w:i w:val="0"/>
          <w:sz w:val="24"/>
        </w:rPr>
        <w:t>建立分级闭环仿真与物理实验的量化消融对比评估基准</w:t>
      </w:r>
      <w:r>
        <w:rPr>
          <w:rFonts w:ascii="Times New Roman" w:hAnsi="Times New Roman" w:cs="Times New Roman" w:eastAsia="宋体"/>
          <w:b w:val="0"/>
          <w:i w:val="0"/>
          <w:sz w:val="24"/>
        </w:rPr>
        <w:t>。在软件在环（SITL）仿真与物理实验水池环境中，设计定点悬停抗流扰、多轴阶跃响应等典型测试工况；以传统无模型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exact" w:beforeLines="0" w:before="0" w:afterLines="0" w:after="0"/>
        <w:ind w:firstLine="480" w:firstLineChars="200"/>
      </w:pPr>
      <w:r>
        <w:rPr>
          <w:rFonts w:ascii="Times New Roman" w:hAnsi="Times New Roman" w:cs="Times New Roman" w:eastAsia="黑体"/>
          <w:b/>
          <w:i w:val="0"/>
          <w:sz w:val="24"/>
        </w:rPr>
        <w:t>1.2 核心研究内容要点</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exact" w:beforeLines="0" w:before="0" w:afterLines="0" w:after="0"/>
        <w:ind w:firstLine="480" w:firstLineChars="200"/>
      </w:pPr>
      <w:r>
        <w:rPr>
          <w:rFonts w:ascii="Times New Roman" w:hAnsi="Times New Roman" w:cs="Times New Roman" w:eastAsia="黑体"/>
          <w:b/>
          <w:i w:val="0"/>
          <w:sz w:val="24"/>
        </w:rPr>
        <w:t>（1）水下航行器六自由度机理动力学建模与低成本水动力参数辨识</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建立精确反映流体动力特性的系统动力学模型，是开展后续运动控制设计与状态仿真的基础。本部分主要研究内容包括：</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六自由度非线性动力学状态方程构建</w:t>
      </w:r>
      <w:r>
        <w:rPr>
          <w:rFonts w:ascii="Times New Roman" w:hAnsi="Times New Roman" w:cs="Times New Roman" w:eastAsia="宋体"/>
          <w:b w:val="0"/>
          <w:i w:val="0"/>
          <w:sz w:val="24"/>
        </w:rPr>
        <w:t>：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低成本板载时域试验辨识与数据处理方法</w:t>
      </w:r>
      <w:r>
        <w:rPr>
          <w:rFonts w:ascii="Times New Roman" w:hAnsi="Times New Roman" w:cs="Times New Roman" w:eastAsia="宋体"/>
          <w:b w:val="0"/>
          <w:i w:val="0"/>
          <w:sz w:val="24"/>
        </w:rPr>
        <w:t>：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exact" w:beforeLines="0" w:before="0" w:afterLines="0" w:after="0"/>
        <w:ind w:firstLine="480" w:firstLineChars="200"/>
      </w:pPr>
      <w:r>
        <w:rPr>
          <w:rFonts w:ascii="Times New Roman" w:hAnsi="Times New Roman" w:cs="Times New Roman" w:eastAsia="黑体"/>
          <w:b/>
          <w:i w:val="0"/>
          <w:sz w:val="24"/>
        </w:rPr>
        <w:t>（2）基于机理动力学前馈补偿与高频状态反馈的运动控制算法设计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针对水下高黏性介质引起的非线性流阻耗散与多轴交叉耦合动态，在机载微控制器有限算力约束下，构建兼顾补偿精度与低计算复杂度的闭环控制器。本部分主要研究内容包括：</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动力学前馈解耦补偿环节构建</w:t>
      </w:r>
      <w:r>
        <w:rPr>
          <w:rFonts w:ascii="Times New Roman" w:hAnsi="Times New Roman" w:cs="Times New Roman" w:eastAsia="宋体"/>
          <w:b w:val="0"/>
          <w:i w:val="0"/>
          <w:sz w:val="24"/>
        </w:rPr>
        <w:t>：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高频状态反馈回路构建与抗扰控制</w:t>
      </w:r>
      <w:r>
        <w:rPr>
          <w:rFonts w:ascii="Times New Roman" w:hAnsi="Times New Roman" w:cs="Times New Roman" w:eastAsia="宋体"/>
          <w:b w:val="0"/>
          <w:i w:val="0"/>
          <w:sz w:val="24"/>
        </w:rPr>
        <w:t>：在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exact" w:beforeLines="0" w:before="0" w:afterLines="0" w:after="0"/>
        <w:ind w:firstLine="480" w:firstLineChars="200"/>
      </w:pPr>
      <w:r>
        <w:rPr>
          <w:rFonts w:ascii="Times New Roman" w:hAnsi="Times New Roman" w:cs="Times New Roman" w:eastAsia="黑体"/>
          <w:b/>
          <w:i w:val="0"/>
          <w:sz w:val="24"/>
        </w:rPr>
        <w:t>（3）空间过驱动八推进器推力分配与推力受限工况下的力矩优先控制</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针对空间对称与矢量倾斜布置的八推进器过驱动构型，构建连接上层期望控制指令与底层执行机构的推力分配映射与抗饱和处理机制。本部分主要研究内容包括：</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空间几何推力配置矩阵推导与解析分配</w:t>
      </w:r>
      <w:r>
        <w:rPr>
          <w:rFonts w:ascii="Times New Roman" w:hAnsi="Times New Roman" w:cs="Times New Roman" w:eastAsia="宋体"/>
          <w:b w:val="0"/>
          <w:i w:val="0"/>
          <w:sz w:val="24"/>
        </w:rPr>
        <w:t>：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力矩优先抗饱和分配机制设计</w:t>
      </w:r>
      <w:r>
        <w:rPr>
          <w:rFonts w:ascii="Times New Roman" w:hAnsi="Times New Roman" w:cs="Times New Roman" w:eastAsia="宋体"/>
          <w:b w:val="0"/>
          <w:i w:val="0"/>
          <w:sz w:val="24"/>
        </w:rPr>
        <w:t>：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exact" w:beforeLines="50" w:afterLines="50"/>
        <w:ind w:firstLine="0" w:firstLineChars="0"/>
        <w:rPr>
          <w:rFonts w:ascii="黑体" w:hAnsi="黑体"/>
          <w:sz w:val="24"/>
        </w:rPr>
      </w:pPr>
      <w:r w:rsidRPr="00C45F8C">
        <w:rPr>
          <w:rFonts w:ascii="黑体" w:hAnsi="黑体" w:hint="eastAsia"/>
          <w:sz w:val="24"/>
        </w:rPr>
        <w:t>2</w:t>
      </w:r>
      <w:r w:rsidR="00C36A7B" w:rsidRPr="00C45F8C">
        <w:rPr>
          <w:rFonts w:ascii="黑体" w:hAnsi="黑体"/>
          <w:sz w:val="24"/>
        </w:rPr>
        <w:t xml:space="preserve">． </w:t>
      </w:r>
      <w:r w:rsidRPr="00C45F8C">
        <w:rPr>
          <w:rFonts w:ascii="黑体" w:hAnsi="黑体" w:hint="eastAsia"/>
          <w:sz w:val="24"/>
        </w:rPr>
        <w:t>研究方案</w:t>
      </w:r>
      <w:r w:rsidR="00914070" w:rsidRPr="00C45F8C">
        <w:rPr>
          <w:rFonts w:ascii="黑体" w:hAnsi="黑体" w:hint="eastAsia"/>
          <w:sz w:val="24"/>
        </w:rPr>
      </w:r>
    </w:p>
    <w:p>
      <w:pPr>
        <w:pStyle w:val="a7"/>
        <w:spacing w:line="360" w:lineRule="exact" w:beforeLines="0" w:before="0" w:afterLines="0" w:after="0"/>
        <w:ind w:firstLine="480" w:firstLineChars="200"/>
      </w:pPr>
      <w:r>
        <w:rPr>
          <w:rFonts w:ascii="Times New Roman" w:hAnsi="Times New Roman" w:cs="Times New Roman" w:eastAsia="黑体"/>
          <w:b/>
          <w:i w:val="0"/>
          <w:sz w:val="24"/>
        </w:rPr>
        <w:t>2.1 拟采取的研究方法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围绕前述三项核心研究任务，本课题坚持理论建模、工程算法实现与消融对比验证相结合的技术路线，拟采取的具体研究方法如下：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（1）动力学机理建模与时域参数滤波辨识方法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针对水下航行器六自由度复杂动力学特性，采用理论机理推导与时域试验辨识相结合的技术途径：</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机理模型构建与几何惯性测算</w:t>
      </w:r>
      <w:r>
        <w:rPr>
          <w:rFonts w:ascii="Times New Roman" w:hAnsi="Times New Roman" w:cs="Times New Roman" w:eastAsia="宋体"/>
          <w:b w:val="0"/>
          <w:i w:val="0"/>
          <w:sz w:val="24"/>
        </w:rPr>
        <w:t>：基于牛顿-欧拉刚体动力学理论与流体势流理论，建立包含刚体质量惯性、水动力附加质量、科氏力与向心力、流体阻尼以及重浮力恢复力矩的六自由度非线性动力学方程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。利用计算机辅助设计（CAD）三维模型精确解算机体干重、质心位置及转动惯量矩阵，并通过水下静态悬浮配平试验获取净浮力与浮心几何坐标；</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水池时域阶跃与衰减试验辨识</w:t>
      </w:r>
      <w:r>
        <w:rPr>
          <w:rFonts w:ascii="Times New Roman" w:hAnsi="Times New Roman" w:cs="Times New Roman" w:eastAsia="宋体"/>
          <w:b w:val="0"/>
          <w:i w:val="0"/>
          <w:sz w:val="24"/>
        </w:rPr>
        <w:t>：针对难以理论解析的附加质量与二次流体阻尼，借鉴板载传感器试验辨识范式</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动量积分变换与抗噪参数回归</w:t>
      </w:r>
      <w:r>
        <w:rPr>
          <w:rFonts w:ascii="Times New Roman" w:hAnsi="Times New Roman" w:cs="Times New Roman" w:eastAsia="宋体"/>
          <w:b w:val="0"/>
          <w:i w:val="0"/>
          <w:sz w:val="24"/>
        </w:rPr>
        <w:t>：针对传感器离散数值微分引入的高频噪声放大问题，采用广义动量变换方法</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exact" w:beforeLines="0" w:before="0" w:afterLines="0" w:after="0"/>
        <w:ind w:firstLine="480" w:firstLineChars="200"/>
      </w:pPr>
      <w:r>
        <w:rPr>
          <w:rFonts w:ascii="Times New Roman" w:hAnsi="Times New Roman" w:cs="Times New Roman" w:eastAsia="黑体"/>
          <w:b/>
          <w:i w:val="0"/>
          <w:sz w:val="24"/>
        </w:rPr>
        <w:t>（2）基于 PX4 架构的高频闭环控制与力矩优先分配实现方法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针对微小型航行器计算资源受限与多推进器过驱动控制需求，依托开源飞控系统 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 xml:space="preserve"> 的嵌入式实时软件架构开展算法设计与工程实现：</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前馈解耦补偿与高频状态反馈集成</w:t>
      </w:r>
      <w:r>
        <w:rPr>
          <w:rFonts w:ascii="Times New Roman" w:hAnsi="Times New Roman" w:cs="Times New Roman" w:eastAsia="宋体"/>
          <w:b w:val="0"/>
          <w:i w:val="0"/>
          <w:sz w:val="24"/>
        </w:rPr>
        <w:t>：利用 PX4 的模块化设计与微服务发布/订阅机制（uORB），在姿态与位置控制回路中构建具备显式解析表达式的动力学前馈补偿环节</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空间几何推力配置与力矩优先解饱和机制</w:t>
      </w:r>
      <w:r>
        <w:rPr>
          <w:rFonts w:ascii="Times New Roman" w:hAnsi="Times New Roman" w:cs="Times New Roman" w:eastAsia="宋体"/>
          <w:b w:val="0"/>
          <w:i w:val="0"/>
          <w:sz w:val="24"/>
        </w:rPr>
        <w:t>：基于八台推进器的空间几何矢量布置推导空间推力配置矩阵，结合控制分配理论</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exact" w:beforeLines="0" w:before="0" w:afterLines="0" w:after="0"/>
        <w:ind w:firstLine="480" w:firstLineChars="200"/>
      </w:pPr>
      <w:r>
        <w:rPr>
          <w:rFonts w:ascii="Times New Roman" w:hAnsi="Times New Roman" w:cs="Times New Roman" w:eastAsia="黑体"/>
          <w:b/>
          <w:i w:val="0"/>
          <w:sz w:val="24"/>
        </w:rPr>
        <w:t>（3）多工况消融对比与分级闭环实验评估方法</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为科学量化评估所提控制方法的技术增益，建立由数字仿真向物理实验递进的分级闭环验证与消融评估流程：</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仿真与物理分级实验设计</w:t>
      </w:r>
      <w:r>
        <w:rPr>
          <w:rFonts w:ascii="Times New Roman" w:hAnsi="Times New Roman" w:cs="Times New Roman" w:eastAsia="宋体"/>
          <w:b w:val="0"/>
          <w:i w:val="0"/>
          <w:sz w:val="24"/>
        </w:rPr>
        <w:t>：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消融基准对照与多维量化评估</w:t>
      </w:r>
      <w:r>
        <w:rPr>
          <w:rFonts w:ascii="Times New Roman" w:hAnsi="Times New Roman" w:cs="Times New Roman" w:eastAsia="宋体"/>
          <w:b w:val="0"/>
          <w:i w:val="0"/>
          <w:sz w:val="24"/>
        </w:rPr>
        <w:t>：借鉴水下机器人模型控制消融验证范式</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exact" w:beforeLines="0" w:before="0" w:afterLines="0" w:after="0"/>
        <w:ind w:firstLine="480" w:firstLineChars="200"/>
      </w:pPr>
      <w:r>
        <w:rPr>
          <w:rFonts w:ascii="Times New Roman" w:hAnsi="Times New Roman" w:cs="Times New Roman" w:eastAsia="黑体"/>
          <w:b/>
          <w:i w:val="0"/>
          <w:sz w:val="24"/>
        </w:rPr>
        <w:t>2.2 技术路线图</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（1）第一阶段：六自由度机理动力学建模与几何惯性测算</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exact" w:beforeLines="0" w:before="0" w:afterLines="0" w:after="0"/>
        <w:ind w:firstLine="480" w:firstLineChars="200"/>
      </w:pPr>
      <w:r>
        <w:rPr>
          <w:rFonts w:ascii="Times New Roman" w:hAnsi="Times New Roman" w:cs="Times New Roman" w:eastAsia="黑体"/>
          <w:b/>
          <w:i w:val="0"/>
          <w:sz w:val="24"/>
        </w:rPr>
        <w:t>（2）第二阶段：水池时域试验与动量滤波抗噪参数辨识</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exact" w:beforeLines="0" w:before="0" w:afterLines="0" w:after="0"/>
        <w:ind w:firstLine="480" w:firstLineChars="200"/>
      </w:pPr>
      <w:r>
        <w:rPr>
          <w:rFonts w:ascii="Times New Roman" w:hAnsi="Times New Roman" w:cs="Times New Roman" w:eastAsia="黑体"/>
          <w:b/>
          <w:i w:val="0"/>
          <w:sz w:val="24"/>
        </w:rPr>
        <w:t>（3）第三阶段：基于 PX4 架构的动力学模型前馈补偿与状态反馈控制器构建</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exact" w:beforeLines="0" w:before="0" w:afterLines="0" w:after="0"/>
        <w:ind w:firstLine="480" w:firstLineChars="200"/>
      </w:pPr>
      <w:r>
        <w:rPr>
          <w:rFonts w:ascii="Times New Roman" w:hAnsi="Times New Roman" w:cs="Times New Roman" w:eastAsia="黑体"/>
          <w:b/>
          <w:i w:val="0"/>
          <w:sz w:val="24"/>
        </w:rPr>
        <w:t>（4）第四阶段：八推进器空间几何分配与力矩优先抗饱和机制设计</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exact" w:beforeLines="0" w:before="0" w:afterLines="0" w:after="0"/>
        <w:ind w:firstLine="480" w:firstLineChars="200"/>
      </w:pPr>
      <w:r>
        <w:rPr>
          <w:rFonts w:ascii="Times New Roman" w:hAnsi="Times New Roman" w:cs="Times New Roman" w:eastAsia="黑体"/>
          <w:b/>
          <w:i w:val="0"/>
          <w:sz w:val="24"/>
        </w:rPr>
        <w:t>（5）第五阶段：SITL 软件在环仿真与水池物理实验分级消融验证</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课题总体技术路线如图 1 所示：</w:t>
      </w:r>
    </w:p>
    <w:p>
      <w:pPr>
        <w:spacing w:line="360" w:lineRule="exact" w:beforeLines="50" w:before="120" w:afterLines="0" w:after="0"/>
        <w:jc w:val="center"/>
      </w:pPr>
      <w:r>
        <w:drawing>
          <wp:inline xmlns:a="http://schemas.openxmlformats.org/drawingml/2006/main" xmlns:pic="http://schemas.openxmlformats.org/drawingml/2006/picture">
            <wp:extent cx="5328000" cy="6874839"/>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328000" cy="6874839"/>
                    </a:xfrm>
                    <a:prstGeom prst="rect"/>
                  </pic:spPr>
                </pic:pic>
              </a:graphicData>
            </a:graphic>
          </wp:inline>
        </w:drawing>
      </w:r>
    </w:p>
    <w:p>
      <w:pPr>
        <w:spacing w:line="360" w:lineRule="exact" w:beforeLines="0" w:before="0" w:afterLines="50" w:after="120"/>
        <w:jc w:val="center"/>
      </w:pPr>
      <w:r>
        <w:rPr>
          <w:rFonts w:ascii="Times New Roman" w:hAnsi="Times New Roman" w:cs="Times New Roman" w:eastAsia="黑体"/>
          <w:b/>
          <w:i w:val="0"/>
          <w:sz w:val="21"/>
        </w:rPr>
        <w:t>图 1 课题总体研究技术路线流程图</w:t>
      </w:r>
    </w:p>
    <w:p>
      <w:pPr>
        <w:pStyle w:val="a7"/>
        <w:spacing w:line="360" w:lineRule="exact" w:beforeLines="0" w:before="0" w:afterLines="0" w:after="0"/>
        <w:ind w:firstLine="480" w:firstLineChars="200"/>
      </w:pPr>
      <w:r>
        <w:rPr>
          <w:rFonts w:ascii="Times New Roman" w:hAnsi="Times New Roman" w:cs="Times New Roman" w:eastAsia="黑体"/>
          <w:b/>
          <w:i w:val="0"/>
          <w:sz w:val="24"/>
        </w:rPr>
        <w:t>2.3 可行性分析</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本课题所规划的研究内容与技术路线具有坚实的理论支撑、成熟的软件仿真工具链以及完备的物理实验条件，具体可行性论证如下：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（1）理论基础可行性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本课题所采用的建模、控制与分配理论均为海洋工程与机器人控制领域公认的成熟理论体系：</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动力学建模与辨识理论成熟</w:t>
      </w:r>
      <w:r>
        <w:rPr>
          <w:rFonts w:ascii="Times New Roman" w:hAnsi="Times New Roman" w:cs="Times New Roman" w:eastAsia="宋体"/>
          <w:b w:val="0"/>
          <w:i w:val="0"/>
          <w:sz w:val="24"/>
        </w:rPr>
        <w:t>：课题遵循的六自由度动力学建模方法源自国际著名海洋控制学者 Fossen 构建的经典机理体系</w:t>
      </w:r>
      <w:r>
        <w:rPr>
          <w:rFonts w:ascii="Times New Roman" w:hAnsi="Times New Roman" w:cs="Times New Roman" w:eastAsia="宋体"/>
          <w:b w:val="0"/>
          <w:i w:val="0"/>
          <w:sz w:val="24"/>
          <w:vertAlign w:val="superscript"/>
        </w:rPr>
        <w:t>[3]</w:t>
      </w:r>
      <w:r>
        <w:rPr>
          <w:rFonts w:ascii="Times New Roman" w:hAnsi="Times New Roman" w:cs="Times New Roman" w:eastAsia="宋体"/>
          <w:b w:val="0"/>
          <w:i w:val="0"/>
          <w:sz w:val="24"/>
        </w:rPr>
        <w:t>，物理概念清晰且代数表达严密自洽；时域阶跃与衰减试验辨识方法借鉴了 Caccia 等人建立的经典板载试验范式</w:t>
      </w:r>
      <w:r>
        <w:rPr>
          <w:rFonts w:ascii="Times New Roman" w:hAnsi="Times New Roman" w:cs="Times New Roman" w:eastAsia="宋体"/>
          <w:b w:val="0"/>
          <w:i w:val="0"/>
          <w:sz w:val="24"/>
          <w:vertAlign w:val="superscript"/>
        </w:rPr>
        <w:t>[14]</w:t>
      </w:r>
      <w:r>
        <w:rPr>
          <w:rFonts w:ascii="Times New Roman" w:hAnsi="Times New Roman" w:cs="Times New Roman" w:eastAsia="宋体"/>
          <w:b w:val="0"/>
          <w:i w:val="0"/>
          <w:sz w:val="24"/>
        </w:rPr>
        <w:t>，结合广义动量变换</w:t>
      </w:r>
      <w:r>
        <w:rPr>
          <w:rFonts w:ascii="Times New Roman" w:hAnsi="Times New Roman" w:cs="Times New Roman" w:eastAsia="宋体"/>
          <w:b w:val="0"/>
          <w:i w:val="0"/>
          <w:sz w:val="24"/>
          <w:vertAlign w:val="superscript"/>
        </w:rPr>
        <w:t>[18]</w:t>
      </w:r>
      <w:r>
        <w:rPr>
          <w:rFonts w:ascii="Times New Roman" w:hAnsi="Times New Roman" w:cs="Times New Roman" w:eastAsia="宋体"/>
          <w:b w:val="0"/>
          <w:i w:val="0"/>
          <w:sz w:val="24"/>
        </w:rPr>
        <w:t>抑制高频数值微分噪声，参数拟合过程具备坚实的数学与试验依据；</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控制与推力分配方法物理自洽</w:t>
      </w:r>
      <w:r>
        <w:rPr>
          <w:rFonts w:ascii="Times New Roman" w:hAnsi="Times New Roman" w:cs="Times New Roman" w:eastAsia="宋体"/>
          <w:b w:val="0"/>
          <w:i w:val="0"/>
          <w:sz w:val="24"/>
        </w:rPr>
        <w:t>：动力学模型前馈补偿策略对标 Smallwood 等人在水下机器人实机测试中验证的消融范式</w:t>
      </w:r>
      <w:r>
        <w:rPr>
          <w:rFonts w:ascii="Times New Roman" w:hAnsi="Times New Roman" w:cs="Times New Roman" w:eastAsia="宋体"/>
          <w:b w:val="0"/>
          <w:i w:val="0"/>
          <w:sz w:val="24"/>
          <w:vertAlign w:val="superscript"/>
        </w:rPr>
        <w:t>[9]</w:t>
      </w:r>
      <w:r>
        <w:rPr>
          <w:rFonts w:ascii="Times New Roman" w:hAnsi="Times New Roman" w:cs="Times New Roman" w:eastAsia="宋体"/>
          <w:b w:val="0"/>
          <w:i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i w:val="0"/>
          <w:sz w:val="24"/>
          <w:vertAlign w:val="superscript"/>
        </w:rPr>
        <w:t>[7]</w:t>
      </w:r>
      <w:r>
        <w:rPr>
          <w:rFonts w:ascii="Times New Roman" w:hAnsi="Times New Roman" w:cs="Times New Roman" w:eastAsia="宋体"/>
          <w:b w:val="0"/>
          <w:i w:val="0"/>
          <w:sz w:val="24"/>
        </w:rPr>
        <w:t>，通过显式加权伪逆结合力矩优先级等比例降阶逻辑，从代数几何机理上有效抑制了传统独立硬截断诱发的力矩方向畸变，理论推导严谨闭环。</w:t>
      </w:r>
    </w:p>
    <w:p>
      <w:pPr>
        <w:pStyle w:val="a7"/>
        <w:spacing w:line="360" w:lineRule="exact" w:beforeLines="0" w:before="0" w:afterLines="0" w:after="0"/>
        <w:ind w:firstLine="480" w:firstLineChars="200"/>
      </w:pPr>
      <w:r>
        <w:rPr>
          <w:rFonts w:ascii="Times New Roman" w:hAnsi="Times New Roman" w:cs="Times New Roman" w:eastAsia="黑体"/>
          <w:b/>
          <w:i w:val="0"/>
          <w:sz w:val="24"/>
        </w:rPr>
        <w:t>（2）软件与仿真生态可行性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课题所选用的软件开发基座与仿真验证工具链具备极高的工程成熟度与工具链完备性：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开源飞控系统 PX4 架构稳定成熟</w:t>
      </w:r>
      <w:r>
        <w:rPr>
          <w:rFonts w:ascii="Times New Roman" w:hAnsi="Times New Roman" w:cs="Times New Roman" w:eastAsia="宋体"/>
          <w:b w:val="0"/>
          <w:i w:val="0"/>
          <w:sz w:val="24"/>
        </w:rPr>
        <w:t>：PX4</w:t>
      </w:r>
      <w:r>
        <w:rPr>
          <w:rFonts w:ascii="Times New Roman" w:hAnsi="Times New Roman" w:cs="Times New Roman" w:eastAsia="宋体"/>
          <w:b w:val="0"/>
          <w:i w:val="0"/>
          <w:sz w:val="24"/>
          <w:vertAlign w:val="superscript"/>
        </w:rPr>
        <w:t>[8]</w:t>
      </w:r>
      <w:r>
        <w:rPr>
          <w:rFonts w:ascii="Times New Roman" w:hAnsi="Times New Roman" w:cs="Times New Roman" w:eastAsia="宋体"/>
          <w:b w:val="0"/>
          <w:i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黑体"/>
          <w:b/>
          <w:i w:val="0"/>
          <w:sz w:val="24"/>
        </w:rPr>
        <w:t>软件在环（SITL）仿真环境高度完备</w:t>
      </w:r>
      <w:r>
        <w:rPr>
          <w:rFonts w:ascii="Times New Roman" w:hAnsi="Times New Roman" w:cs="Times New Roman" w:eastAsia="宋体"/>
          <w:b w:val="0"/>
          <w:i w:val="0"/>
          <w:sz w:val="24"/>
        </w:rPr>
        <w:t>：PX4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exact" w:beforeLines="0" w:before="0" w:afterLines="0" w:after="0"/>
        <w:ind w:firstLine="480" w:firstLineChars="200"/>
      </w:pPr>
      <w:r>
        <w:rPr>
          <w:rFonts w:ascii="Times New Roman" w:hAnsi="Times New Roman" w:cs="Times New Roman" w:eastAsia="黑体"/>
          <w:b/>
          <w:i w:val="0"/>
          <w:sz w:val="24"/>
        </w:rPr>
        <w:t>（3）硬件与实验条件可行性</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课题依托的实验环境具备开展全流程闭环验证的充分软硬件支撑：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物理实验样机平台完备</w:t>
      </w:r>
      <w:r>
        <w:rPr>
          <w:rFonts w:ascii="Times New Roman" w:hAnsi="Times New Roman" w:cs="Times New Roman" w:eastAsia="宋体"/>
          <w:b w:val="0"/>
          <w:i w:val="0"/>
          <w:sz w:val="24"/>
        </w:rPr>
        <w:t>：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i w:val="0"/>
          <w:sz w:val="24"/>
          <w:vertAlign w:val="superscript"/>
        </w:rPr>
        <w:t>[44]</w:t>
      </w:r>
      <w:r>
        <w:rPr>
          <w:rFonts w:ascii="Times New Roman" w:hAnsi="Times New Roman" w:cs="Times New Roman" w:eastAsia="宋体"/>
          <w:b w:val="0"/>
          <w:i w:val="0"/>
          <w:sz w:val="24"/>
        </w:rPr>
        <w:t>与水下多模态感知基准测试（AquaticVision）</w:t>
      </w:r>
      <w:r>
        <w:rPr>
          <w:rFonts w:ascii="Times New Roman" w:hAnsi="Times New Roman" w:cs="Times New Roman" w:eastAsia="宋体"/>
          <w:b w:val="0"/>
          <w:i w:val="0"/>
          <w:sz w:val="24"/>
          <w:vertAlign w:val="superscript"/>
        </w:rPr>
        <w:t>[45]</w:t>
      </w:r>
      <w:r>
        <w:rPr>
          <w:rFonts w:ascii="Times New Roman" w:hAnsi="Times New Roman" w:cs="Times New Roman" w:eastAsia="宋体"/>
          <w:b w:val="0"/>
          <w:i w:val="0"/>
          <w:sz w:val="24"/>
        </w:rPr>
        <w:t>，积累了丰富的水池实机调试与传感器在环运行经验，为本课题的参数辨识与闭环控制算法验证提供了可靠的物理载体与数据支撑；</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室内实验水池与数字模型齐全</w:t>
      </w:r>
      <w:r>
        <w:rPr>
          <w:rFonts w:ascii="Times New Roman" w:hAnsi="Times New Roman" w:cs="Times New Roman" w:eastAsia="宋体"/>
          <w:b w:val="0"/>
          <w:i w:val="0"/>
          <w:sz w:val="24"/>
        </w:rPr>
        <w:t>：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exact" w:beforeLines="50" w:afterLines="50"/>
        <w:ind w:firstLine="0" w:firstLineChars="0"/>
        <w:rPr>
          <w:rFonts w:ascii="黑体" w:hAnsi="黑体" w:hint="eastAsia"/>
          <w:sz w:val="24"/>
        </w:rPr>
      </w:pPr>
      <w:r w:rsidRPr="00C45F8C">
        <w:rPr>
          <w:rFonts w:ascii="黑体" w:hAnsi="黑体" w:hint="eastAsia"/>
          <w:sz w:val="24"/>
        </w:rPr>
        <w:t>3</w:t>
      </w:r>
      <w:r w:rsidR="00C36A7B" w:rsidRPr="00C45F8C">
        <w:rPr>
          <w:rFonts w:ascii="黑体" w:hAnsi="黑体"/>
          <w:sz w:val="24"/>
        </w:rPr>
        <w:t xml:space="preserve">． </w:t>
      </w:r>
      <w:r w:rsidR="00C36A7B" w:rsidRPr="00C45F8C">
        <w:rPr>
          <w:rFonts w:ascii="黑体" w:hAnsi="黑体" w:hint="eastAsia"/>
          <w:sz w:val="24"/>
        </w:rPr>
        <w:t>工作</w:t>
      </w:r>
      <w:r w:rsidR="009672BC" w:rsidRPr="00C45F8C">
        <w:rPr>
          <w:rFonts w:ascii="黑体" w:hAnsi="黑体"/>
          <w:sz w:val="24"/>
        </w:rPr>
        <w:t>进度安排</w:t>
      </w:r>
    </w:p>
    <w:permEnd w:id="1741359920"/>
    <w:p>
      <w:pPr>
        <w:pStyle w:val="a7"/>
        <w:spacing w:line="360" w:lineRule="exact" w:beforeLines="0" w:before="0" w:afterLines="0" w:after="0"/>
        <w:ind w:firstLine="480" w:firstLineChars="200"/>
      </w:pPr>
      <w:r>
        <w:rPr>
          <w:rFonts w:ascii="Times New Roman" w:hAnsi="Times New Roman" w:cs="Times New Roman" w:eastAsia="宋体"/>
          <w:b w:val="0"/>
          <w:i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exact" w:beforeLines="0" w:before="0" w:afterLines="0" w:after="0"/>
        <w:ind w:firstLine="480" w:firstLineChars="200"/>
      </w:pPr>
      <w:r>
        <w:rPr>
          <w:rFonts w:ascii="Times New Roman" w:hAnsi="Times New Roman" w:cs="Times New Roman" w:eastAsia="黑体"/>
          <w:b/>
          <w:i w:val="0"/>
          <w:sz w:val="24"/>
        </w:rPr>
        <w:t>（1）阶段性任务规划简述</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第一阶段（2026.09 - 2026.10，第1~4周）</w:t>
      </w:r>
      <w:r>
        <w:rPr>
          <w:rFonts w:ascii="Times New Roman" w:hAnsi="Times New Roman" w:cs="Times New Roman" w:eastAsia="宋体"/>
          <w:b w:val="0"/>
          <w:i w:val="0"/>
          <w:sz w:val="24"/>
        </w:rPr>
        <w:t>：完成文献资料研读与国内外研究现状梳理，明确研究任务边界与技术路线，撰写开题报告并完成开题答辩；</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第二阶段（2026.10 - 2026.11，第5~10周）</w:t>
      </w:r>
      <w:r>
        <w:rPr>
          <w:rFonts w:ascii="Times New Roman" w:hAnsi="Times New Roman" w:cs="Times New Roman" w:eastAsia="宋体"/>
          <w:b w:val="0"/>
          <w:i w:val="0"/>
          <w:sz w:val="24"/>
        </w:rPr>
        <w:t>：完成水下航行器六自由度机理动力学方程推导与推进器几何配置分析，基于三维 CAD 装配体计算惯性参数，搭建 PX4/SITL 水动力学仿真基础环境；</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第三阶段（2026.11 - 2027.01，第11~18周）</w:t>
      </w:r>
      <w:r>
        <w:rPr>
          <w:rFonts w:ascii="Times New Roman" w:hAnsi="Times New Roman" w:cs="Times New Roman" w:eastAsia="宋体"/>
          <w:b w:val="0"/>
          <w:i w:val="0"/>
          <w:sz w:val="24"/>
        </w:rPr>
        <w:t>：开展实验水池推进器阶跃与自由衰减时域辨识试验，运用动量积分变换与低通滤波提取水动力参数并校验模型残差，完成中期检查与中期答辩汇报；</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第四阶段（2027.02 - 2027.04，第1~6周）</w:t>
      </w:r>
      <w:r>
        <w:rPr>
          <w:rFonts w:ascii="Times New Roman" w:hAnsi="Times New Roman" w:cs="Times New Roman" w:eastAsia="宋体"/>
          <w:b w:val="0"/>
          <w:i w:val="0"/>
          <w:sz w:val="24"/>
        </w:rPr>
        <w:t>：在 PX4 架构下开发动力学模型前馈补偿环节与力矩优先推力分配机制，开展 SITL 仿真测试与水池实机消融对比实验，采集并处理多维评估数据；</w:t>
      </w:r>
    </w:p>
    <w:p>
      <w:pPr>
        <w:pStyle w:val="a7"/>
        <w:spacing w:line="360" w:lineRule="exact" w:beforeLines="0" w:before="0" w:afterLines="0" w:after="0"/>
        <w:ind w:firstLine="480" w:firstLineChars="200"/>
      </w:pPr>
      <w:r>
        <w:rPr>
          <w:rFonts w:ascii="Times New Roman" w:hAnsi="Times New Roman" w:cs="Times New Roman" w:eastAsia="宋体"/>
          <w:b w:val="0"/>
          <w:i w:val="0"/>
          <w:sz w:val="24"/>
        </w:rPr>
        <w:t xml:space="preserve">- </w:t>
      </w:r>
      <w:r>
        <w:rPr>
          <w:rFonts w:ascii="Times New Roman" w:hAnsi="Times New Roman" w:cs="Times New Roman" w:eastAsia="宋体"/>
          <w:b/>
          <w:i w:val="0"/>
          <w:sz w:val="24"/>
        </w:rPr>
        <w:t>第五阶段（2027.04 - 2027.05，第7~12周）</w:t>
      </w:r>
      <w:r>
        <w:rPr>
          <w:rFonts w:ascii="Times New Roman" w:hAnsi="Times New Roman" w:cs="Times New Roman" w:eastAsia="宋体"/>
          <w:b w:val="0"/>
          <w:i w:val="0"/>
          <w:sz w:val="24"/>
        </w:rPr>
        <w:t>：系统整理实验数据与图表成果，撰写毕业论文正文初稿，完成学术查重、导师评阅、专家评阅盲审、修改定稿、毕业答辩及全套资料归档。</w:t>
      </w:r>
    </w:p>
    <w:p>
      <w:pPr>
        <w:spacing w:line="360" w:lineRule="exact" w:beforeLines="50" w:before="120" w:afterLines="20" w:after="48"/>
        <w:jc w:val="center"/>
      </w:pPr>
      <w:r>
        <w:rPr>
          <w:rFonts w:ascii="Times New Roman" w:hAnsi="Times New Roman" w:cs="Times New Roman" w:eastAsia="黑体"/>
          <w:b/>
          <w:i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黑体"/>
                <w:b/>
                <w:i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i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i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i w:val="0"/>
                <w:sz w:val="19"/>
              </w:rPr>
              <w:t>提交符合学术规范的毕业论文正稿，通过论文查重与盲审，完成毕业答辩与材料归档</w:t>
            </w:r>
          </w:p>
        </w:tc>
      </w:tr>
    </w:tbl>
    <w:p>
      <w:pPr>
        <w:pStyle w:val="a7"/>
        <w:spacing w:line="360" w:lineRule="exact" w:beforeLines="0" w:before="0" w:afterLines="0" w:after="0"/>
      </w:pPr>
    </w:p>
    <w:p w14:paraId="41E5FE5D" w14:textId="77777777" w:rsidR="00117889" w:rsidRPr="0008585D" w:rsidRDefault="00117889" w:rsidP="005F5E45">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ermEnd w:id="61024898"/>
    <w:p>
      <w:pPr>
        <w:pStyle w:val="a9"/>
        <w:spacing w:line="360" w:lineRule="exact" w:beforeLines="0" w:before="0" w:afterLines="0" w:after="0"/>
        <w:ind w:left="420" w:hanging="420"/>
      </w:pPr>
      <w:r>
        <w:rPr>
          <w:rFonts w:ascii="Times New Roman" w:hAnsi="Times New Roman" w:cs="Times New Roman" w:eastAsia="宋体"/>
          <w:b w:val="0"/>
          <w:i w:val="0"/>
          <w:sz w:val="24"/>
        </w:rPr>
        <w:t>[1] 中华人民共和国工业和信息化部, 国家发展和改革委员会, 科学技术部, 等. “十四五”机器人产业发展规划[J]. 中华人民共和国工业和信息化部公报, 2021(12): 20-27.</w:t>
      </w:r>
    </w:p>
    <w:p>
      <w:pPr>
        <w:pStyle w:val="a9"/>
        <w:spacing w:line="360" w:lineRule="exact" w:beforeLines="0" w:before="0" w:afterLines="0" w:after="0"/>
        <w:ind w:left="420" w:hanging="420"/>
      </w:pPr>
      <w:r>
        <w:rPr>
          <w:rFonts w:ascii="Times New Roman" w:hAnsi="Times New Roman" w:cs="Times New Roman" w:eastAsia="宋体"/>
          <w:b w:val="0"/>
          <w:i w:val="0"/>
          <w:sz w:val="24"/>
        </w:rPr>
        <w:t>[2] 工业和信息化部, 教育部, 科学技术部, 等. “机器人+”应用行动实施方案[J]. 中华人民共和国工业和信息化部公报, 2023(1): 18-24.</w:t>
      </w:r>
    </w:p>
    <w:p>
      <w:pPr>
        <w:pStyle w:val="a9"/>
        <w:spacing w:line="360" w:lineRule="exact" w:beforeLines="0" w:before="0" w:afterLines="0" w:after="0"/>
        <w:ind w:left="420" w:hanging="420"/>
      </w:pPr>
      <w:r>
        <w:rPr>
          <w:rFonts w:ascii="Times New Roman" w:hAnsi="Times New Roman" w:cs="Times New Roman" w:eastAsia="宋体"/>
          <w:b w:val="0"/>
          <w:i w:val="0"/>
          <w:sz w:val="24"/>
        </w:rPr>
        <w:t>[3] FOSSEN T I. Handbook of Marine Craft Hydrodynamics and Motion Control[M]. 2nd ed. Chichester, UK: John Wiley &amp; Sons, 2021.</w:t>
      </w:r>
    </w:p>
    <w:p>
      <w:pPr>
        <w:pStyle w:val="a9"/>
        <w:spacing w:line="360" w:lineRule="exact" w:beforeLines="0" w:before="0" w:afterLines="0" w:after="0"/>
        <w:ind w:left="420" w:hanging="420"/>
      </w:pPr>
      <w:r>
        <w:rPr>
          <w:rFonts w:ascii="Times New Roman" w:hAnsi="Times New Roman" w:cs="Times New Roman" w:eastAsia="宋体"/>
          <w:b w:val="0"/>
          <w:i w:val="0"/>
          <w:sz w:val="24"/>
        </w:rPr>
        <w:t>[4] FERNANDES D, SØRENSEN D, PETTERSEN K Y, et al. Output-feedback motion control of an underwater vehicle-manipulator system[J]. Control Engineering Practice, 2015, 39: 50-64.</w:t>
      </w:r>
    </w:p>
    <w:p>
      <w:pPr>
        <w:pStyle w:val="a9"/>
        <w:spacing w:line="360" w:lineRule="exact" w:beforeLines="0" w:before="0" w:afterLines="0" w:after="0"/>
        <w:ind w:left="420" w:hanging="420"/>
      </w:pPr>
      <w:r>
        <w:rPr>
          <w:rFonts w:ascii="Times New Roman" w:hAnsi="Times New Roman" w:cs="Times New Roman" w:eastAsia="宋体"/>
          <w:b w:val="0"/>
          <w:i w:val="0"/>
          <w:sz w:val="24"/>
        </w:rPr>
        <w:t>[5] VON BENZON M, SØRENSEN F F, UTH E, et al. An open-source benchmark simulator: Control of a BlueROV2 underwater robot[J]. Journal of Marine Science and Engineering, 2022, 10(12): 1898.</w:t>
      </w:r>
    </w:p>
    <w:p>
      <w:pPr>
        <w:pStyle w:val="a9"/>
        <w:spacing w:line="360" w:lineRule="exact" w:beforeLines="0" w:before="0" w:afterLines="0" w:after="0"/>
        <w:ind w:left="420" w:hanging="420"/>
      </w:pPr>
      <w:r>
        <w:rPr>
          <w:rFonts w:ascii="Times New Roman" w:hAnsi="Times New Roman" w:cs="Times New Roman" w:eastAsia="宋体"/>
          <w:b w:val="0"/>
          <w:i w:val="0"/>
          <w:sz w:val="24"/>
        </w:rPr>
        <w:t>[6] DUECKER D A, BAUSCHMANN N, HANSEN T, et al. HippoCampus X: A hydrobatic open-source micro AUV for confined environments[C]//2020 IEEE/OES Autonomous Underwater Vehicles Symposium (AUV). St. John's, NL, Canada: IEEE, 2020: 1-6.</w:t>
      </w:r>
    </w:p>
    <w:p>
      <w:pPr>
        <w:pStyle w:val="a9"/>
        <w:spacing w:line="360" w:lineRule="exact" w:beforeLines="0" w:before="0" w:afterLines="0" w:after="0"/>
        <w:ind w:left="420" w:hanging="420"/>
      </w:pPr>
      <w:r>
        <w:rPr>
          <w:rFonts w:ascii="Times New Roman" w:hAnsi="Times New Roman" w:cs="Times New Roman" w:eastAsia="宋体"/>
          <w:b w:val="0"/>
          <w:i w:val="0"/>
          <w:sz w:val="24"/>
        </w:rPr>
        <w:t>[7] JOHANSEN T A, FOSSEN T I. Control allocation: A survey[J]. Automatica, 2013, 49(5): 1087-1103.</w:t>
      </w:r>
    </w:p>
    <w:p>
      <w:pPr>
        <w:pStyle w:val="a9"/>
        <w:spacing w:line="360" w:lineRule="exact" w:beforeLines="0" w:before="0" w:afterLines="0" w:after="0"/>
        <w:ind w:left="420" w:hanging="420"/>
      </w:pPr>
      <w:r>
        <w:rPr>
          <w:rFonts w:ascii="Times New Roman" w:hAnsi="Times New Roman" w:cs="Times New Roman" w:eastAsia="宋体"/>
          <w:b w:val="0"/>
          <w:i w:val="0"/>
          <w:sz w:val="24"/>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exact" w:beforeLines="0" w:before="0" w:afterLines="0" w:after="0"/>
        <w:ind w:left="420" w:hanging="420"/>
      </w:pPr>
      <w:r>
        <w:rPr>
          <w:rFonts w:ascii="Times New Roman" w:hAnsi="Times New Roman" w:cs="Times New Roman" w:eastAsia="宋体"/>
          <w:b w:val="0"/>
          <w:i w:val="0"/>
          <w:sz w:val="24"/>
        </w:rPr>
        <w:t>[9] SMALLWOOD D A, WHITCOMB L L. Model-based dynamic positioning of underwater robotic vehicles: Theory and experiment[J]. IEEE Journal of Oceanic Engineering, 2004, 29(1): 169-186.</w:t>
      </w:r>
    </w:p>
    <w:p>
      <w:pPr>
        <w:pStyle w:val="a9"/>
        <w:spacing w:line="360" w:lineRule="exact" w:beforeLines="0" w:before="0" w:afterLines="0" w:after="0"/>
        <w:ind w:left="420" w:hanging="420"/>
      </w:pPr>
      <w:r>
        <w:rPr>
          <w:rFonts w:ascii="Times New Roman" w:hAnsi="Times New Roman" w:cs="Times New Roman" w:eastAsia="宋体"/>
          <w:b w:val="0"/>
          <w:i w:val="0"/>
          <w:sz w:val="24"/>
        </w:rPr>
        <w:t>[10] FOSSEN T I. Nonlinear modelling of marine vehicles in 6 degrees of freedom[J]. Mathematical Modelling of Systems, 1995, 1(1): 17-27.</w:t>
      </w:r>
    </w:p>
    <w:p>
      <w:pPr>
        <w:pStyle w:val="a9"/>
        <w:spacing w:line="360" w:lineRule="exact" w:beforeLines="0" w:before="0" w:afterLines="0" w:after="0"/>
        <w:ind w:left="420" w:hanging="420"/>
      </w:pPr>
      <w:r>
        <w:rPr>
          <w:rFonts w:ascii="Times New Roman" w:hAnsi="Times New Roman" w:cs="Times New Roman" w:eastAsia="宋体"/>
          <w:b w:val="0"/>
          <w:i w:val="0"/>
          <w:sz w:val="24"/>
        </w:rPr>
        <w:t>[11] 严卫生, 高剑, 崔荣鑫, 等. 水下航行器控制技术[M]. 北京: 国防工业出版社, 2020.</w:t>
      </w:r>
    </w:p>
    <w:p>
      <w:pPr>
        <w:pStyle w:val="a9"/>
        <w:spacing w:line="360" w:lineRule="exact" w:beforeLines="0" w:before="0" w:afterLines="0" w:after="0"/>
        <w:ind w:left="420" w:hanging="420"/>
      </w:pPr>
      <w:r>
        <w:rPr>
          <w:rFonts w:ascii="Times New Roman" w:hAnsi="Times New Roman" w:cs="Times New Roman" w:eastAsia="宋体"/>
          <w:b w:val="0"/>
          <w:i w:val="0"/>
          <w:sz w:val="24"/>
        </w:rPr>
        <w:t>[12] PRESTERO T. Verification of a six-degree of freedom simulation model for the REMUS autonomous underwater vehicle[D]. Cambridge, MA: Massachusetts Institute of Technology, 2001.</w:t>
      </w:r>
    </w:p>
    <w:p>
      <w:pPr>
        <w:pStyle w:val="a9"/>
        <w:spacing w:line="360" w:lineRule="exact" w:beforeLines="0" w:before="0" w:afterLines="0" w:after="0"/>
        <w:ind w:left="420" w:hanging="420"/>
      </w:pPr>
      <w:r>
        <w:rPr>
          <w:rFonts w:ascii="Times New Roman" w:hAnsi="Times New Roman" w:cs="Times New Roman" w:eastAsia="宋体"/>
          <w:b w:val="0"/>
          <w:i w:val="0"/>
          <w:sz w:val="24"/>
        </w:rPr>
        <w:t>[13] 高婷, 庞永杰, 王亚兴, 等. 水下航行器水动力系数计算方法[J]. 哈尔滨工程大学学报, 2019, 40(1): 174-180.</w:t>
      </w:r>
    </w:p>
    <w:p>
      <w:pPr>
        <w:pStyle w:val="a9"/>
        <w:spacing w:line="360" w:lineRule="exact" w:beforeLines="0" w:before="0" w:afterLines="0" w:after="0"/>
        <w:ind w:left="420" w:hanging="420"/>
      </w:pPr>
      <w:r>
        <w:rPr>
          <w:rFonts w:ascii="Times New Roman" w:hAnsi="Times New Roman" w:cs="Times New Roman" w:eastAsia="宋体"/>
          <w:b w:val="0"/>
          <w:i w:val="0"/>
          <w:sz w:val="24"/>
        </w:rPr>
        <w:t>[14] CACCIA M, INDIVERI G, VERUGGIO G. Modeling and identification of open-frame variable configuration unmanned underwater vehicles[J]. IEEE Journal of Oceanic Engineering, 2000, 25(2): 227-240.</w:t>
      </w:r>
    </w:p>
    <w:p>
      <w:pPr>
        <w:pStyle w:val="a9"/>
        <w:spacing w:line="360" w:lineRule="exact" w:beforeLines="0" w:before="0" w:afterLines="0" w:after="0"/>
        <w:ind w:left="420" w:hanging="420"/>
      </w:pPr>
      <w:r>
        <w:rPr>
          <w:rFonts w:ascii="Times New Roman" w:hAnsi="Times New Roman" w:cs="Times New Roman" w:eastAsia="宋体"/>
          <w:b w:val="0"/>
          <w:i w:val="0"/>
          <w:sz w:val="24"/>
        </w:rPr>
        <w:t>[15] CHIN C, LAU M. Modeling and testing of hydrodynamic damping model for a complex-shaped remotely-operated vehicle for control[J]. Journal of Marine Science and Application, 2012, 11(2): 150-163.</w:t>
      </w:r>
    </w:p>
    <w:p>
      <w:pPr>
        <w:pStyle w:val="a9"/>
        <w:spacing w:line="360" w:lineRule="exact" w:beforeLines="0" w:before="0" w:afterLines="0" w:after="0"/>
        <w:ind w:left="420" w:hanging="420"/>
      </w:pPr>
      <w:r>
        <w:rPr>
          <w:rFonts w:ascii="Times New Roman" w:hAnsi="Times New Roman" w:cs="Times New Roman" w:eastAsia="宋体"/>
          <w:b w:val="0"/>
          <w:i w:val="0"/>
          <w:sz w:val="24"/>
        </w:rPr>
        <w:t>[16] ROSS A, FOSSEN T I, JOHANSEN T A. Identification of underwater vehicle hydrodynamic coefficients using free decay tests[J]. IFAC Proceedings Volumes, 2004, 37(10): 363-368.</w:t>
      </w:r>
    </w:p>
    <w:p>
      <w:pPr>
        <w:pStyle w:val="a9"/>
        <w:spacing w:line="360" w:lineRule="exact" w:beforeLines="0" w:before="0" w:afterLines="0" w:after="0"/>
        <w:ind w:left="420" w:hanging="420"/>
      </w:pPr>
      <w:r>
        <w:rPr>
          <w:rFonts w:ascii="Times New Roman" w:hAnsi="Times New Roman" w:cs="Times New Roman" w:eastAsia="宋体"/>
          <w:b w:val="0"/>
          <w:i w:val="0"/>
          <w:sz w:val="24"/>
        </w:rPr>
        <w:t>[17] AVILA J P J, DONHA D C, ADAMOWSKI J C. Experimental model identification of open-frame underwater vehicles[J]. Ocean Engineering, 2013, 60: 81-94.</w:t>
      </w:r>
    </w:p>
    <w:p>
      <w:pPr>
        <w:pStyle w:val="a9"/>
        <w:spacing w:line="360" w:lineRule="exact" w:beforeLines="0" w:before="0" w:afterLines="0" w:after="0"/>
        <w:ind w:left="420" w:hanging="420"/>
      </w:pPr>
      <w:r>
        <w:rPr>
          <w:rFonts w:ascii="Times New Roman" w:hAnsi="Times New Roman" w:cs="Times New Roman" w:eastAsia="宋体"/>
          <w:b w:val="0"/>
          <w:i w:val="0"/>
          <w:sz w:val="24"/>
        </w:rPr>
        <w:t>[18] PARK S, SUNG S, CHOI H. System identification method for robotic manipulator based on dynamic momentum regressor[J]. IEEE Transactions on Instrumentation and Measurement, 2016, 65(9): 2085-2095.</w:t>
      </w:r>
    </w:p>
    <w:p>
      <w:pPr>
        <w:pStyle w:val="a9"/>
        <w:spacing w:line="360" w:lineRule="exact" w:beforeLines="0" w:before="0" w:afterLines="0" w:after="0"/>
        <w:ind w:left="420" w:hanging="420"/>
      </w:pPr>
      <w:r>
        <w:rPr>
          <w:rFonts w:ascii="Times New Roman" w:hAnsi="Times New Roman" w:cs="Times New Roman" w:eastAsia="宋体"/>
          <w:b w:val="0"/>
          <w:i w:val="0"/>
          <w:sz w:val="24"/>
        </w:rPr>
        <w:t>[19] HARRIS M, MAURYA P. Stable nullspace adaptive parameter identification of 6 degree-of-freedom plant and actuator models[J]. IEEE Transactions on Control Systems Technology, 2023, 31(6): 2816-2823.</w:t>
      </w:r>
    </w:p>
    <w:p>
      <w:pPr>
        <w:pStyle w:val="a9"/>
        <w:spacing w:line="360" w:lineRule="exact" w:beforeLines="0" w:before="0" w:afterLines="0" w:after="0"/>
        <w:ind w:left="420" w:hanging="420"/>
      </w:pPr>
      <w:r>
        <w:rPr>
          <w:rFonts w:ascii="Times New Roman" w:hAnsi="Times New Roman" w:cs="Times New Roman" w:eastAsia="宋体"/>
          <w:b w:val="0"/>
          <w:i w:val="0"/>
          <w:sz w:val="24"/>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exact" w:beforeLines="0" w:before="0" w:afterLines="0" w:after="0"/>
        <w:ind w:left="420" w:hanging="420"/>
      </w:pPr>
      <w:r>
        <w:rPr>
          <w:rFonts w:ascii="Times New Roman" w:hAnsi="Times New Roman" w:cs="Times New Roman" w:eastAsia="宋体"/>
          <w:b w:val="0"/>
          <w:i w:val="0"/>
          <w:sz w:val="24"/>
        </w:rPr>
        <w:t>[21] BRUNTON S L, PROCTOR J L, KUTZ J N. Discovering governing equations from data by sparse identification of nonlinear dynamical systems[J]. Proceedings of the National Academy of Sciences, 2016, 113(15): 3932-3937.</w:t>
      </w:r>
    </w:p>
    <w:p>
      <w:pPr>
        <w:pStyle w:val="a9"/>
        <w:spacing w:line="360" w:lineRule="exact" w:beforeLines="0" w:before="0" w:afterLines="0" w:after="0"/>
        <w:ind w:left="420" w:hanging="420"/>
      </w:pPr>
      <w:r>
        <w:rPr>
          <w:rFonts w:ascii="Times New Roman" w:hAnsi="Times New Roman" w:cs="Times New Roman" w:eastAsia="宋体"/>
          <w:b w:val="0"/>
          <w:i w:val="0"/>
          <w:sz w:val="24"/>
        </w:rPr>
        <w:t>[22] CHEN R T Q, RUBANOVA Y, BETTENCOURT J, et al. Neural ordinary differential equations[C]//Advances in Neural Information Processing Systems (NeurIPS 2018). Montréal, QC, Canada, 2018: 6571-6583.</w:t>
      </w:r>
    </w:p>
    <w:p>
      <w:pPr>
        <w:pStyle w:val="a9"/>
        <w:spacing w:line="360" w:lineRule="exact" w:beforeLines="0" w:before="0" w:afterLines="0" w:after="0"/>
        <w:ind w:left="420" w:hanging="420"/>
      </w:pPr>
      <w:r>
        <w:rPr>
          <w:rFonts w:ascii="Times New Roman" w:hAnsi="Times New Roman" w:cs="Times New Roman" w:eastAsia="宋体"/>
          <w:b w:val="0"/>
          <w:i w:val="0"/>
          <w:sz w:val="24"/>
        </w:rPr>
        <w:t>[23] DUONG T, ATANASOV N. Port-Hamiltonian neural ODE networks on Lie groups for robot dynamics learning and control[J]. IEEE Transactions on Robotics, 2024, 40: 1215-1233.</w:t>
      </w:r>
    </w:p>
    <w:p>
      <w:pPr>
        <w:pStyle w:val="a9"/>
        <w:spacing w:line="360" w:lineRule="exact" w:beforeLines="0" w:before="0" w:afterLines="0" w:after="0"/>
        <w:ind w:left="420" w:hanging="420"/>
      </w:pPr>
      <w:r>
        <w:rPr>
          <w:rFonts w:ascii="Times New Roman" w:hAnsi="Times New Roman" w:cs="Times New Roman" w:eastAsia="宋体"/>
          <w:b w:val="0"/>
          <w:i w:val="0"/>
          <w:sz w:val="24"/>
        </w:rPr>
        <w:t>[24] YUH J. Design and control of autonomous underwater robots: A survey[J]. Autonomous Robots, 2000, 8(1): 7-24.</w:t>
      </w:r>
    </w:p>
    <w:p>
      <w:pPr>
        <w:pStyle w:val="a9"/>
        <w:spacing w:line="360" w:lineRule="exact" w:beforeLines="0" w:before="0" w:afterLines="0" w:after="0"/>
        <w:ind w:left="420" w:hanging="420"/>
      </w:pPr>
      <w:r>
        <w:rPr>
          <w:rFonts w:ascii="Times New Roman" w:hAnsi="Times New Roman" w:cs="Times New Roman" w:eastAsia="宋体"/>
          <w:b w:val="0"/>
          <w:i w:val="0"/>
          <w:sz w:val="24"/>
        </w:rPr>
        <w:t>[25] 朱大奇, 孙兵. 水下机器人运动控制研究进展[J]. 控制与决策, 2012, 27(3): 321-333.</w:t>
      </w:r>
    </w:p>
    <w:p>
      <w:pPr>
        <w:pStyle w:val="a9"/>
        <w:spacing w:line="360" w:lineRule="exact" w:beforeLines="0" w:before="0" w:afterLines="0" w:after="0"/>
        <w:ind w:left="420" w:hanging="420"/>
      </w:pPr>
      <w:r>
        <w:rPr>
          <w:rFonts w:ascii="Times New Roman" w:hAnsi="Times New Roman" w:cs="Times New Roman" w:eastAsia="宋体"/>
          <w:b w:val="0"/>
          <w:i w:val="0"/>
          <w:sz w:val="24"/>
        </w:rPr>
        <w:t>[26] CAPOCCI R, DRONIOU N, BOYER F, et al. Inspection-class remotely operated vehicles: A review[J]. Journal of Marine Science and Engineering, 2017, 5(1): 13.</w:t>
      </w:r>
    </w:p>
    <w:p>
      <w:pPr>
        <w:pStyle w:val="a9"/>
        <w:spacing w:line="360" w:lineRule="exact" w:beforeLines="0" w:before="0" w:afterLines="0" w:after="0"/>
        <w:ind w:left="420" w:hanging="420"/>
      </w:pPr>
      <w:r>
        <w:rPr>
          <w:rFonts w:ascii="Times New Roman" w:hAnsi="Times New Roman" w:cs="Times New Roman" w:eastAsia="宋体"/>
          <w:b w:val="0"/>
          <w:i w:val="0"/>
          <w:sz w:val="24"/>
        </w:rPr>
        <w:t>[27] YOERGER D R, SLOTINE J J E. Robust trajectory control of underwater vehicles[J]. IEEE Journal of Oceanic Engineering, 1985, 10(4): 462-470.</w:t>
      </w:r>
    </w:p>
    <w:p>
      <w:pPr>
        <w:pStyle w:val="a9"/>
        <w:spacing w:line="360" w:lineRule="exact" w:beforeLines="0" w:before="0" w:afterLines="0" w:after="0"/>
        <w:ind w:left="420" w:hanging="420"/>
      </w:pPr>
      <w:r>
        <w:rPr>
          <w:rFonts w:ascii="Times New Roman" w:hAnsi="Times New Roman" w:cs="Times New Roman" w:eastAsia="宋体"/>
          <w:b w:val="0"/>
          <w:i w:val="0"/>
          <w:sz w:val="24"/>
        </w:rPr>
        <w:t>[28] HEALEY A J, LIENARD D. Multivariable sliding mode control for autonomous diving and steering of unmanned underwater vehicles[J]. IEEE Journal of Oceanic Engineering, 1993, 18(3): 327-339.</w:t>
      </w:r>
    </w:p>
    <w:p>
      <w:pPr>
        <w:pStyle w:val="a9"/>
        <w:spacing w:line="360" w:lineRule="exact" w:beforeLines="0" w:before="0" w:afterLines="0" w:after="0"/>
        <w:ind w:left="420" w:hanging="420"/>
      </w:pPr>
      <w:r>
        <w:rPr>
          <w:rFonts w:ascii="Times New Roman" w:hAnsi="Times New Roman" w:cs="Times New Roman" w:eastAsia="宋体"/>
          <w:b w:val="0"/>
          <w:i w:val="0"/>
          <w:sz w:val="24"/>
        </w:rPr>
        <w:t>[29] CHU Z, ZHU D, YANG S X. Observer-based adaptive sliding mode trajectory tracking control for autonomous underwater vehicles with input saturation[J]. ISA Transactions, 2020, 100: 28-40.</w:t>
      </w:r>
    </w:p>
    <w:p>
      <w:pPr>
        <w:pStyle w:val="a9"/>
        <w:spacing w:line="360" w:lineRule="exact" w:beforeLines="0" w:before="0" w:afterLines="0" w:after="0"/>
        <w:ind w:left="420" w:hanging="420"/>
      </w:pPr>
      <w:r>
        <w:rPr>
          <w:rFonts w:ascii="Times New Roman" w:hAnsi="Times New Roman" w:cs="Times New Roman" w:eastAsia="宋体"/>
          <w:b w:val="0"/>
          <w:i w:val="0"/>
          <w:sz w:val="24"/>
        </w:rPr>
        <w:t>[30] 钱辰, 方勇纯. 面向扑翼飞行控制的建模与奇异摄动分析[J]. 自动化学报, 2020, 46(12): 2585-2595.</w:t>
      </w:r>
    </w:p>
    <w:p>
      <w:pPr>
        <w:pStyle w:val="a9"/>
        <w:spacing w:line="360" w:lineRule="exact" w:beforeLines="0" w:before="0" w:afterLines="0" w:after="0"/>
        <w:ind w:left="420" w:hanging="420"/>
      </w:pPr>
      <w:r>
        <w:rPr>
          <w:rFonts w:ascii="Times New Roman" w:hAnsi="Times New Roman" w:cs="Times New Roman" w:eastAsia="宋体"/>
          <w:b w:val="0"/>
          <w:i w:val="0"/>
          <w:sz w:val="24"/>
        </w:rPr>
        <w:t>[31] SMEUR E J J, CHU Q P, DE CROON G C H E. Adaptive incremental nonlinear dynamic inversion for attitude control of micro air vehicles[J]. Journal of Guidance, Control, and Dynamics, 2016, 39(3): 450-461.</w:t>
      </w:r>
    </w:p>
    <w:p>
      <w:pPr>
        <w:pStyle w:val="a9"/>
        <w:spacing w:line="360" w:lineRule="exact" w:beforeLines="0" w:before="0" w:afterLines="0" w:after="0"/>
        <w:ind w:left="420" w:hanging="420"/>
      </w:pPr>
      <w:r>
        <w:rPr>
          <w:rFonts w:ascii="Times New Roman" w:hAnsi="Times New Roman" w:cs="Times New Roman" w:eastAsia="宋体"/>
          <w:b w:val="0"/>
          <w:i w:val="0"/>
          <w:sz w:val="24"/>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exact" w:beforeLines="0" w:before="0" w:afterLines="0" w:after="0"/>
        <w:ind w:left="420" w:hanging="420"/>
      </w:pPr>
      <w:r>
        <w:rPr>
          <w:rFonts w:ascii="Times New Roman" w:hAnsi="Times New Roman" w:cs="Times New Roman" w:eastAsia="宋体"/>
          <w:b w:val="0"/>
          <w:i w:val="0"/>
          <w:sz w:val="24"/>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exact" w:beforeLines="0" w:before="0" w:afterLines="0" w:after="0"/>
        <w:ind w:left="420" w:hanging="420"/>
      </w:pPr>
      <w:r>
        <w:rPr>
          <w:rFonts w:ascii="Times New Roman" w:hAnsi="Times New Roman" w:cs="Times New Roman" w:eastAsia="宋体"/>
          <w:b w:val="0"/>
          <w:i w:val="0"/>
          <w:sz w:val="24"/>
        </w:rPr>
        <w:t>[34] LINIGER A, DOMAHOIDI A, MORARI M. Optimization-based autonomous racing of 1:43 scale RC cars[J]. Optimal Control Applications and Methods, 2015, 36(5): 628-647.</w:t>
      </w:r>
    </w:p>
    <w:p>
      <w:pPr>
        <w:pStyle w:val="a9"/>
        <w:spacing w:line="360" w:lineRule="exact" w:beforeLines="0" w:before="0" w:afterLines="0" w:after="0"/>
        <w:ind w:left="420" w:hanging="420"/>
      </w:pPr>
      <w:r>
        <w:rPr>
          <w:rFonts w:ascii="Times New Roman" w:hAnsi="Times New Roman" w:cs="Times New Roman" w:eastAsia="宋体"/>
          <w:b w:val="0"/>
          <w:i w:val="0"/>
          <w:sz w:val="24"/>
        </w:rPr>
        <w:t>[35] TORRENTE G, KAUFMANN E, FÖHN P, et al. Data-driven MPC for quadrotors[J]. IEEE Transactions on Control Systems Technology, 2021, 29(4): 1599-1613.</w:t>
      </w:r>
    </w:p>
    <w:p>
      <w:pPr>
        <w:pStyle w:val="a9"/>
        <w:spacing w:line="360" w:lineRule="exact" w:beforeLines="0" w:before="0" w:afterLines="0" w:after="0"/>
        <w:ind w:left="420" w:hanging="420"/>
      </w:pPr>
      <w:r>
        <w:rPr>
          <w:rFonts w:ascii="Times New Roman" w:hAnsi="Times New Roman" w:cs="Times New Roman" w:eastAsia="宋体"/>
          <w:b w:val="0"/>
          <w:i w:val="0"/>
          <w:sz w:val="24"/>
        </w:rPr>
        <w:t>[36] SHI G, HÖNIG W, YUE Y, et al. Neural-Lander: Stable drone landing in ground effect with learning-based dynamics[C]//2019 International Conference on Robotics and Automation (ICRA). Montreal, QC, Canada: IEEE, 2019: 9811-9818.</w:t>
      </w:r>
    </w:p>
    <w:p>
      <w:pPr>
        <w:pStyle w:val="a9"/>
        <w:spacing w:line="360" w:lineRule="exact" w:beforeLines="0" w:before="0" w:afterLines="0" w:after="0"/>
        <w:ind w:left="420" w:hanging="420"/>
      </w:pPr>
      <w:r>
        <w:rPr>
          <w:rFonts w:ascii="Times New Roman" w:hAnsi="Times New Roman" w:cs="Times New Roman" w:eastAsia="宋体"/>
          <w:b w:val="0"/>
          <w:i w:val="0"/>
          <w:sz w:val="24"/>
        </w:rPr>
        <w:t>[37] O'CONNELL M, SHI G, SHI X, et al. Neural-Fly enables rapid learning for agile flight in strong winds[J]. Science Robotics, 2022, 7(66): eabg6513.</w:t>
      </w:r>
    </w:p>
    <w:p>
      <w:pPr>
        <w:pStyle w:val="a9"/>
        <w:spacing w:line="360" w:lineRule="exact" w:beforeLines="0" w:before="0" w:afterLines="0" w:after="0"/>
        <w:ind w:left="420" w:hanging="420"/>
      </w:pPr>
      <w:r>
        <w:rPr>
          <w:rFonts w:ascii="Times New Roman" w:hAnsi="Times New Roman" w:cs="Times New Roman" w:eastAsia="宋体"/>
          <w:b w:val="0"/>
          <w:i w:val="0"/>
          <w:sz w:val="24"/>
        </w:rPr>
        <w:t>[38] BODSON M. Evaluation of optimization methods for control allocation[J]. Journal of Guidance, Control, and Dynamics, 2002, 25(4): 703-711.</w:t>
      </w:r>
    </w:p>
    <w:p>
      <w:pPr>
        <w:pStyle w:val="a9"/>
        <w:spacing w:line="360" w:lineRule="exact" w:beforeLines="0" w:before="0" w:afterLines="0" w:after="0"/>
        <w:ind w:left="420" w:hanging="420"/>
      </w:pPr>
      <w:r>
        <w:rPr>
          <w:rFonts w:ascii="Times New Roman" w:hAnsi="Times New Roman" w:cs="Times New Roman" w:eastAsia="宋体"/>
          <w:b w:val="0"/>
          <w:i w:val="0"/>
          <w:sz w:val="24"/>
        </w:rPr>
        <w:t>[39] HÄRKEGÅRD O. Efficient active set algorithms for solving constrained linear quadratic control allocation problems[J]. Journal of Guidance, Control, and Dynamics, 2002, 25(5): 827-835.</w:t>
      </w:r>
    </w:p>
    <w:p>
      <w:pPr>
        <w:pStyle w:val="a9"/>
        <w:spacing w:line="360" w:lineRule="exact" w:beforeLines="0" w:before="0" w:afterLines="0" w:after="0"/>
        <w:ind w:left="420" w:hanging="420"/>
      </w:pPr>
      <w:r>
        <w:rPr>
          <w:rFonts w:ascii="Times New Roman" w:hAnsi="Times New Roman" w:cs="Times New Roman" w:eastAsia="宋体"/>
          <w:b w:val="0"/>
          <w:i w:val="0"/>
          <w:sz w:val="24"/>
        </w:rPr>
        <w:t>[40] 程卫平, 王猛, 曾现敏, 等. 基于可行方向法的水下机器人推力分配[J]. 舰船科学技术, 2022, 44(13): 102-106.</w:t>
      </w:r>
    </w:p>
    <w:p>
      <w:pPr>
        <w:pStyle w:val="a9"/>
        <w:spacing w:line="360" w:lineRule="exact" w:beforeLines="0" w:before="0" w:afterLines="0" w:after="0"/>
        <w:ind w:left="420" w:hanging="420"/>
      </w:pPr>
      <w:r>
        <w:rPr>
          <w:rFonts w:ascii="Times New Roman" w:hAnsi="Times New Roman" w:cs="Times New Roman" w:eastAsia="宋体"/>
          <w:b w:val="0"/>
          <w:i w:val="0"/>
          <w:sz w:val="24"/>
        </w:rPr>
        <w:t>[41] 孙功武, 苏义鑫, 毛英, 等. 基于模糊逻辑的混合推进ROV多级推力分配策略[J]. 机器人, 2023, 45(4): 472-482.</w:t>
      </w:r>
    </w:p>
    <w:p>
      <w:pPr>
        <w:pStyle w:val="a9"/>
        <w:spacing w:line="360" w:lineRule="exact" w:beforeLines="0" w:before="0" w:afterLines="0" w:after="0"/>
        <w:ind w:left="420" w:hanging="420"/>
      </w:pPr>
      <w:r>
        <w:rPr>
          <w:rFonts w:ascii="Times New Roman" w:hAnsi="Times New Roman" w:cs="Times New Roman" w:eastAsia="宋体"/>
          <w:b w:val="0"/>
          <w:i w:val="0"/>
          <w:sz w:val="24"/>
        </w:rPr>
        <w:t>[42] LI Y, ZHANG M, CHEN Y, et al. MCE-based direct FTC method for underwater vehicles with thruster redundancy[J]. Ocean Engineering, 2025, 317: 119985.</w:t>
      </w:r>
    </w:p>
    <w:p>
      <w:pPr>
        <w:pStyle w:val="a9"/>
        <w:spacing w:line="360" w:lineRule="exact" w:beforeLines="0" w:before="0" w:afterLines="0" w:after="0"/>
        <w:ind w:left="420" w:hanging="420"/>
      </w:pPr>
      <w:r>
        <w:rPr>
          <w:rFonts w:ascii="Times New Roman" w:hAnsi="Times New Roman" w:cs="Times New Roman" w:eastAsia="宋体"/>
          <w:b w:val="0"/>
          <w:i w:val="0"/>
          <w:sz w:val="24"/>
        </w:rPr>
        <w:t>[43] BRUNKE L, GREEFF M, HALL A W, et al. Safe learning in robotics: From learning-based control to safe reinforcement learning[J]. Annual Review of Control, Robotics, and Autonomous Systems, 2022, 5: 411-444.</w:t>
      </w:r>
    </w:p>
    <w:p>
      <w:pPr>
        <w:pStyle w:val="a9"/>
        <w:spacing w:line="360" w:lineRule="exact" w:beforeLines="0" w:before="0" w:afterLines="0" w:after="0"/>
        <w:ind w:left="420" w:hanging="420"/>
      </w:pPr>
      <w:r>
        <w:rPr>
          <w:rFonts w:ascii="Times New Roman" w:hAnsi="Times New Roman" w:cs="Times New Roman" w:eastAsia="宋体"/>
          <w:b w:val="0"/>
          <w:i w:val="0"/>
          <w:sz w:val="24"/>
        </w:rPr>
        <w:t>[44] ZHAO Y, PENG X, WU J, et al. Spatiotemporal calibration of Doppler velocity logs for underwater robots[J]. arXiv preprint arXiv:2510.24571, 2025.</w:t>
      </w:r>
    </w:p>
    <w:p>
      <w:pPr>
        <w:pStyle w:val="a9"/>
        <w:spacing w:line="360" w:lineRule="exact" w:beforeLines="0" w:before="0" w:afterLines="0" w:after="0"/>
        <w:ind w:left="420" w:hanging="420"/>
      </w:pPr>
      <w:r>
        <w:rPr>
          <w:rFonts w:ascii="Times New Roman" w:hAnsi="Times New Roman" w:cs="Times New Roman" w:eastAsia="宋体"/>
          <w:b w:val="0"/>
          <w:i w:val="0"/>
          <w:sz w:val="24"/>
        </w:rPr>
        <w:t>[45] PENG X, ZHAO Y, WU J, et al. AquaticVision: Benchmarking visual SLAM in underwater environment with events and frames[C]//2025 IEEE International Conference on Robotics and Automation (ICRA). Atlanta, GA, USA: IEEE, 2025: 1-7.</w:t>
      </w:r>
    </w:p>
    <w:p w14:paraId="2CA8248D" w14:textId="77777777" w:rsidR="00117889" w:rsidRPr="0008585D" w:rsidRDefault="00117889" w:rsidP="0008585D">
      <w:pPr>
        <w:spacing w:beforeLines="50" w:before="120" w:afterLines="50" w:after="120" w:line="360" w:lineRule="exact"/>
        <w:ind w:firstLine="560" w:firstLineChars="20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