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center"/>
          </w:tcPr>
          <w:p>
            <w:pPr>
              <w:spacing w:before="40" w:after="40" w:line="288" w:lineRule="auto"/>
              <w:ind w:firstLine="0"/>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Vehicle，UUV/ROV）实验平台方案及相关结构数据开展研究。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随着海洋强国建设与海洋资源开发的深入推进，水下无人航行器在海洋科学考察、海底矿产与油气管线巡检、海上风电基桩与水下结构物无损检测、水下大坝与跨海桥墩安全评估，以及现代海洋牧场自动化管护等诸多领域发挥着</w:t>
      </w:r>
      <w:r>
        <w:rPr>
          <w:rFonts w:ascii="Times New Roman" w:hAnsi="Times New Roman" w:cs="Times New Roman" w:eastAsia="宋体"/>
          <w:b w:val="0"/>
          <w:i w:val="0"/>
          <w:color w:val="000000"/>
          <w:sz w:val="24"/>
        </w:rPr>
        <w:t>重要作用</w:t>
      </w:r>
      <w:r>
        <w:rPr>
          <w:rFonts w:ascii="Times New Roman" w:hAnsi="Times New Roman" w:cs="Times New Roman" w:eastAsia="宋体"/>
          <w:b w:val="0"/>
          <w:i w:val="0"/>
          <w:color w:val="000000"/>
          <w:sz w:val="24"/>
        </w:rPr>
        <w:t>。在上述典型作业场景中，水下航行器往往需要贴近被测结构物作业，或在具有空间受限特征的水域中执行</w:t>
      </w:r>
      <w:r>
        <w:rPr>
          <w:rFonts w:ascii="Times New Roman" w:hAnsi="Times New Roman" w:cs="Times New Roman" w:eastAsia="宋体"/>
          <w:b w:val="0"/>
          <w:i w:val="0"/>
          <w:color w:val="000000"/>
          <w:sz w:val="24"/>
        </w:rPr>
        <w:t>光学成像、声学测绘与水下作业任务。这些任务对航行器的低速机动与自主悬停能力提出了较高要求，需要航行器能够在水流干扰环境下稳定完成空间定点悬停、姿态定角保持（抵抗横滚与俯仰力矩倾斜）、定深控制</w:t>
      </w:r>
      <w:r>
        <w:rPr>
          <w:rFonts w:ascii="Times New Roman" w:hAnsi="Times New Roman" w:cs="Times New Roman" w:eastAsia="宋体"/>
          <w:b w:val="0"/>
          <w:i w:val="0"/>
          <w:color w:val="000000"/>
          <w:sz w:val="24"/>
        </w:rPr>
        <w:t>（克服重浮力微小失配与垂向流扰）以及航向锁定（定航）等基本运动控制任务。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依托实验室已完成构型设计的八推进器开架式物理平台方案及结构参数资料开展研究。然而，要在流体环境中实现</w:t>
      </w:r>
      <w:r>
        <w:rPr>
          <w:rFonts w:ascii="Times New Roman" w:hAnsi="Times New Roman" w:cs="Times New Roman" w:eastAsia="宋体"/>
          <w:b w:val="0"/>
          <w:i w:val="0"/>
          <w:color w:val="000000"/>
          <w:sz w:val="24"/>
        </w:rPr>
        <w:t>稳定的</w:t>
      </w:r>
      <w:r>
        <w:rPr>
          <w:rFonts w:ascii="Times New Roman" w:hAnsi="Times New Roman" w:cs="Times New Roman" w:eastAsia="宋体"/>
          <w:b w:val="0"/>
          <w:i w:val="0"/>
          <w:color w:val="000000"/>
          <w:sz w:val="24"/>
        </w:rPr>
        <w:t>自主闭环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w:t>
      </w:r>
      <w:r>
        <w:rPr>
          <w:rFonts w:ascii="Times New Roman" w:hAnsi="Times New Roman" w:cs="Times New Roman" w:eastAsia="宋体"/>
          <w:b w:val="0"/>
          <w:i w:val="0"/>
          <w:color w:val="000000"/>
          <w:sz w:val="24"/>
        </w:rPr>
        <w:t>明确的工程实践背景与技术研究需求</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w:t>
      </w:r>
      <w:r>
        <w:rPr>
          <w:rFonts w:ascii="Times New Roman" w:hAnsi="Times New Roman" w:cs="Times New Roman" w:eastAsia="宋体"/>
          <w:b w:val="0"/>
          <w:i w:val="0"/>
          <w:color w:val="000000"/>
          <w:sz w:val="24"/>
        </w:rPr>
        <w:t>显著的</w:t>
      </w:r>
      <w:r>
        <w:rPr>
          <w:rFonts w:ascii="Times New Roman" w:hAnsi="Times New Roman" w:cs="Times New Roman" w:eastAsia="宋体"/>
          <w:b w:val="0"/>
          <w:i w:val="0"/>
          <w:color w:val="000000"/>
          <w:sz w:val="24"/>
        </w:rPr>
        <w:t>六自由度（6-DOF）非线性耦合特性。一方面，在流体动力学层面，航行器的运动不仅取决于刚体自身质量惯性矩阵，还</w:t>
      </w:r>
      <w:r>
        <w:rPr>
          <w:rFonts w:ascii="Times New Roman" w:hAnsi="Times New Roman" w:cs="Times New Roman" w:eastAsia="宋体"/>
          <w:b w:val="0"/>
          <w:i w:val="0"/>
          <w:color w:val="000000"/>
          <w:sz w:val="24"/>
        </w:rPr>
        <w:t>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w:t>
      </w:r>
      <w:r>
        <w:rPr>
          <w:rFonts w:ascii="Times New Roman" w:hAnsi="Times New Roman" w:cs="Times New Roman" w:eastAsia="宋体"/>
          <w:b w:val="0"/>
          <w:i w:val="0"/>
          <w:color w:val="000000"/>
          <w:sz w:val="24"/>
        </w:rPr>
        <w:t>则共同构成了包含线性与二次非线性项的水动力阻尼特性；此外，航行器重心（CG）与浮心（CB）的空间相对位置形成了</w:t>
      </w:r>
      <w:r>
        <w:rPr>
          <w:rFonts w:ascii="Times New Roman" w:hAnsi="Times New Roman" w:cs="Times New Roman" w:eastAsia="宋体"/>
          <w:b w:val="0"/>
          <w:i w:val="0"/>
          <w:color w:val="000000"/>
          <w:sz w:val="24"/>
        </w:rPr>
        <w:t>各向异性的静恢复力与力矩</w:t>
      </w:r>
      <w:r>
        <w:rPr>
          <w:rFonts w:ascii="Times New Roman" w:hAnsi="Times New Roman" w:cs="Times New Roman" w:eastAsia="宋体"/>
          <w:b w:val="0"/>
          <w:i w:val="0"/>
          <w:color w:val="000000"/>
          <w:sz w:val="24"/>
        </w:rPr>
        <w:t>。在上述多源流体物理效应的综合作用下，航行器各运动轴之间存在</w:t>
      </w:r>
      <w:r>
        <w:rPr>
          <w:rFonts w:ascii="Times New Roman" w:hAnsi="Times New Roman" w:cs="Times New Roman" w:eastAsia="宋体"/>
          <w:b w:val="0"/>
          <w:i w:val="0"/>
          <w:color w:val="000000"/>
          <w:sz w:val="24"/>
        </w:rPr>
        <w:t>明显的</w:t>
      </w:r>
      <w:r>
        <w:rPr>
          <w:rFonts w:ascii="Times New Roman" w:hAnsi="Times New Roman" w:cs="Times New Roman" w:eastAsia="宋体"/>
          <w:b w:val="0"/>
          <w:i w:val="0"/>
          <w:color w:val="000000"/>
          <w:sz w:val="24"/>
        </w:rPr>
        <w:t>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w:t>
      </w:r>
      <w:r>
        <w:rPr>
          <w:rFonts w:ascii="Times New Roman" w:hAnsi="Times New Roman" w:cs="Times New Roman" w:eastAsia="宋体"/>
          <w:b w:val="0"/>
          <w:i w:val="0"/>
          <w:color w:val="000000"/>
          <w:sz w:val="24"/>
        </w:rPr>
        <w:t>附体较多，常规的解析经验公式难以准确计算</w:t>
      </w:r>
      <w:r>
        <w:rPr>
          <w:rFonts w:ascii="Times New Roman" w:hAnsi="Times New Roman" w:cs="Times New Roman" w:eastAsia="宋体"/>
          <w:b w:val="0"/>
          <w:i w:val="0"/>
          <w:color w:val="000000"/>
          <w:sz w:val="24"/>
        </w:rPr>
        <w:t>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w:t>
      </w:r>
      <w:r>
        <w:rPr>
          <w:rFonts w:ascii="Times New Roman" w:hAnsi="Times New Roman" w:cs="Times New Roman" w:eastAsia="宋体"/>
          <w:b w:val="0"/>
          <w:i w:val="0"/>
          <w:color w:val="000000"/>
          <w:sz w:val="24"/>
        </w:rPr>
        <w:t>水平面矢量倾斜与垂直面对称布置</w:t>
      </w:r>
      <w:r>
        <w:rPr>
          <w:rFonts w:ascii="Times New Roman" w:hAnsi="Times New Roman" w:cs="Times New Roman" w:eastAsia="宋体"/>
          <w:b w:val="0"/>
          <w:i w:val="0"/>
          <w:color w:val="000000"/>
          <w:sz w:val="24"/>
        </w:rPr>
        <w:t>，构成了典型的过驱动冗余系统，运动控制器输出的六自由度期望广义力和力矩必须经过控制分配映射转化为各推进器的控制指令，且推进器在物理上受限于</w:t>
      </w:r>
      <w:r>
        <w:rPr>
          <w:rFonts w:ascii="Times New Roman" w:hAnsi="Times New Roman" w:cs="Times New Roman" w:eastAsia="宋体"/>
          <w:b w:val="0"/>
          <w:i w:val="0"/>
          <w:color w:val="000000"/>
          <w:sz w:val="24"/>
        </w:rPr>
        <w:t>推力输出范围、正反转效率差异及推力死区等约束，容易在大幅机动时引发局部推进器饱和与力矩分配失真</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w:t>
      </w:r>
      <w:r>
        <w:rPr>
          <w:rFonts w:ascii="Times New Roman" w:hAnsi="Times New Roman" w:cs="Times New Roman" w:eastAsia="宋体"/>
          <w:b w:val="0"/>
          <w:i w:val="0"/>
          <w:color w:val="000000"/>
          <w:sz w:val="24"/>
        </w:rPr>
        <w:t>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w:t>
      </w:r>
      <w:r>
        <w:rPr>
          <w:rFonts w:ascii="Times New Roman" w:hAnsi="Times New Roman" w:cs="Times New Roman" w:eastAsia="宋体"/>
          <w:b w:val="0"/>
          <w:i w:val="0"/>
          <w:color w:val="000000"/>
          <w:sz w:val="24"/>
        </w:rPr>
        <w:t>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w:t>
      </w:r>
      <w:r>
        <w:rPr>
          <w:rFonts w:ascii="Times New Roman" w:hAnsi="Times New Roman" w:cs="Times New Roman" w:eastAsia="宋体"/>
          <w:b w:val="0"/>
          <w:i w:val="0"/>
          <w:color w:val="000000"/>
          <w:sz w:val="24"/>
        </w:rPr>
        <w:t>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w:t>
      </w:r>
      <w:r>
        <w:rPr>
          <w:rFonts w:ascii="Times New Roman" w:hAnsi="Times New Roman" w:cs="Times New Roman" w:eastAsia="宋体"/>
          <w:b w:val="0"/>
          <w:i w:val="0"/>
          <w:color w:val="000000"/>
          <w:sz w:val="24"/>
        </w:rPr>
        <w:t>以及基于 uORB 的松耦合消息通信总线。本课题依托 PX4 软件架构开展模块化代码设计，在 SITL 仿真环境中直接集成 6-DOF 动力学模型、运动控制器与八推进器分配算法，不仅可以在安全、低成本、高可重复的条件下</w:t>
      </w:r>
      <w:r>
        <w:rPr>
          <w:rFonts w:ascii="Times New Roman" w:hAnsi="Times New Roman" w:cs="Times New Roman" w:eastAsia="宋体"/>
          <w:b w:val="0"/>
          <w:i w:val="0"/>
          <w:color w:val="000000"/>
          <w:sz w:val="24"/>
        </w:rPr>
        <w:t>测试算法在典型运动工况和适量外部水流扰动条件下的闭环性能</w:t>
      </w:r>
      <w:r>
        <w:rPr>
          <w:rFonts w:ascii="Times New Roman" w:hAnsi="Times New Roman" w:cs="Times New Roman" w:eastAsia="宋体"/>
          <w:b w:val="0"/>
          <w:i w:val="0"/>
          <w:color w:val="000000"/>
          <w:sz w:val="24"/>
        </w:rPr>
        <w:t>，还规范了状态估计、期望力矩输出及各推进器指令的标准数据接口。</w:t>
      </w:r>
      <w:r>
        <w:rPr>
          <w:rFonts w:ascii="Times New Roman" w:hAnsi="Times New Roman" w:cs="Times New Roman" w:eastAsia="宋体"/>
          <w:b w:val="0"/>
          <w:i w:val="0"/>
          <w:color w:val="000000"/>
          <w:sz w:val="24"/>
        </w:rPr>
        <w:t>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w:t>
      </w:r>
      <w:r>
        <w:rPr>
          <w:rFonts w:ascii="Times New Roman" w:hAnsi="Times New Roman" w:cs="Times New Roman" w:eastAsia="宋体"/>
          <w:b w:val="0"/>
          <w:i w:val="0"/>
          <w:color w:val="000000"/>
          <w:sz w:val="24"/>
        </w:rPr>
        <w:t>系统的研究</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w:t>
      </w:r>
      <w:r>
        <w:rPr>
          <w:rFonts w:ascii="Times New Roman" w:hAnsi="Times New Roman" w:cs="Times New Roman" w:eastAsia="宋体"/>
          <w:b w:val="0"/>
          <w:i w:val="0"/>
          <w:color w:val="000000"/>
          <w:sz w:val="24"/>
        </w:rPr>
        <w:t>长期发展，已形成规范的标准框架</w:t>
      </w:r>
      <w:r>
        <w:rPr>
          <w:rFonts w:ascii="Times New Roman" w:hAnsi="Times New Roman" w:cs="Times New Roman" w:eastAsia="宋体"/>
          <w:b w:val="0"/>
          <w:i w:val="0"/>
          <w:color w:val="000000"/>
          <w:sz w:val="24"/>
        </w:rPr>
        <w:t>。国际水池会议（ITTC）与国际海事组织（IMO）为海洋船舶与运载器的运动表述奠定了基础，挪威科技大学</w:t>
      </w:r>
      <w:r>
        <w:rPr>
          <w:rFonts w:ascii="Times New Roman" w:hAnsi="Times New Roman" w:cs="Times New Roman" w:eastAsia="宋体"/>
          <w:b w:val="0"/>
          <w:i w:val="0"/>
          <w:color w:val="000000"/>
          <w:sz w:val="24"/>
        </w:rPr>
        <w:t>学者</w:t>
      </w:r>
      <w:r>
        <w:rPr>
          <w:rFonts w:ascii="Times New Roman" w:hAnsi="Times New Roman" w:cs="Times New Roman" w:eastAsia="宋体"/>
          <w:b w:val="0"/>
          <w:i w:val="0"/>
          <w:color w:val="000000"/>
          <w:sz w:val="24"/>
        </w:rPr>
        <w:t xml:space="preserve">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w:t>
      </w:r>
      <w:r>
        <w:rPr>
          <w:rFonts w:ascii="Times New Roman" w:hAnsi="Times New Roman" w:cs="Times New Roman" w:eastAsia="宋体"/>
          <w:b w:val="0"/>
          <w:i w:val="0"/>
          <w:color w:val="000000"/>
          <w:sz w:val="24"/>
        </w:rPr>
        <w:t>采用开架式（Open-frame）机械构型的 ROV 而言，其水动力特性与流线型鱼雷状 AUV 存在明显差异。开架式航行器通常挂载外部传感器探头、推进器短舱、照明灯组及耐压水密舱，表面形态不规则且内部水流可穿透框架结构流动</w:t>
      </w:r>
      <w:r>
        <w:rPr>
          <w:rFonts w:ascii="Times New Roman" w:hAnsi="Times New Roman" w:cs="Times New Roman" w:eastAsia="宋体"/>
          <w:b w:val="0"/>
          <w:i w:val="0"/>
          <w:color w:val="000000"/>
          <w:sz w:val="24"/>
        </w:rPr>
        <w:t>。Caccia 等较早对开架式可变构型无人水下航行器的动力学建模与水动力参数辨识展开了系统研究，指出了开架式航行器附加质量与阻尼矩阵中非对角耦合项的</w:t>
      </w:r>
      <w:r>
        <w:rPr>
          <w:rFonts w:ascii="Times New Roman" w:hAnsi="Times New Roman" w:cs="Times New Roman" w:eastAsia="宋体"/>
          <w:b w:val="0"/>
          <w:i w:val="0"/>
          <w:color w:val="000000"/>
          <w:sz w:val="24"/>
        </w:rPr>
        <w:t>影响</w:t>
      </w:r>
      <w:r>
        <w:rPr>
          <w:rFonts w:ascii="Times New Roman" w:hAnsi="Times New Roman" w:cs="Times New Roman" w:eastAsia="宋体"/>
          <w:b w:val="0"/>
          <w:i w:val="0"/>
          <w:color w:val="000000"/>
          <w:sz w:val="24"/>
        </w:rPr>
        <w:t>，验证了基于机理模型结构结合试验数据辨识主导水动力参数的可行性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w:t>
      </w:r>
      <w:r>
        <w:rPr>
          <w:rFonts w:ascii="Times New Roman" w:hAnsi="Times New Roman" w:cs="Times New Roman" w:eastAsia="宋体"/>
          <w:b w:val="0"/>
          <w:i w:val="0"/>
          <w:color w:val="000000"/>
          <w:sz w:val="24"/>
        </w:rPr>
        <w:t>重要途径。在传统水动力测试中，平面运动机构（PMM）水池拖曳试验精度高但设备成本高、周期长</w:t>
      </w:r>
      <w:r>
        <w:rPr>
          <w:rFonts w:ascii="Times New Roman" w:hAnsi="Times New Roman" w:cs="Times New Roman" w:eastAsia="宋体"/>
          <w:b w:val="0"/>
          <w:i w:val="0"/>
          <w:color w:val="000000"/>
          <w:sz w:val="24"/>
        </w:rPr>
        <w:t>。为此，低成本、高效率的原位试验与动态响应辨识方法受到了研究者的广泛关注。Ross、Fossen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w:t>
      </w:r>
      <w:r>
        <w:rPr>
          <w:rFonts w:ascii="Times New Roman" w:hAnsi="Times New Roman" w:cs="Times New Roman" w:eastAsia="宋体"/>
          <w:b w:val="0"/>
          <w:i w:val="0"/>
          <w:color w:val="000000"/>
          <w:sz w:val="24"/>
        </w:rPr>
        <w:t>特点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w:t>
      </w:r>
      <w:r>
        <w:rPr>
          <w:rFonts w:ascii="Times New Roman" w:hAnsi="Times New Roman" w:cs="Times New Roman" w:eastAsia="宋体"/>
          <w:b w:val="0"/>
          <w:i w:val="0"/>
          <w:color w:val="000000"/>
          <w:sz w:val="24"/>
        </w:rPr>
        <w:t>存在的测量噪声，Liu 等探讨了最大似然估计（ML）在水下航行器非线性阻尼与附加质量辨识中的应用，提升了</w:t>
      </w:r>
      <w:r>
        <w:rPr>
          <w:rFonts w:ascii="Times New Roman" w:hAnsi="Times New Roman" w:cs="Times New Roman" w:eastAsia="宋体"/>
          <w:b w:val="0"/>
          <w:i w:val="0"/>
          <w:color w:val="000000"/>
          <w:sz w:val="24"/>
        </w:rPr>
        <w:t>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w:t>
      </w:r>
      <w:r>
        <w:rPr>
          <w:rFonts w:ascii="Times New Roman" w:hAnsi="Times New Roman" w:cs="Times New Roman" w:eastAsia="宋体"/>
          <w:b w:val="0"/>
          <w:i w:val="0"/>
          <w:color w:val="000000"/>
          <w:sz w:val="24"/>
        </w:rPr>
        <w:t>丰富</w:t>
      </w:r>
      <w:r>
        <w:rPr>
          <w:rFonts w:ascii="Times New Roman" w:hAnsi="Times New Roman" w:cs="Times New Roman" w:eastAsia="宋体"/>
          <w:b w:val="0"/>
          <w:i w:val="0"/>
          <w:color w:val="000000"/>
          <w:sz w:val="24"/>
        </w:rPr>
        <w:t>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p>
    <w:p>
      <w:pPr>
        <w:pStyle w:val="a7"/>
        <w:jc w:val="both"/>
        <w:spacing w:line="360" w:lineRule="auto"/>
        <w:ind w:firstLineChars="200" w:firstLine="480"/>
      </w:pPr>
      <w:r>
        <w:rPr>
          <w:rFonts w:ascii="Times New Roman" w:hAnsi="Times New Roman" w:cs="Times New Roman" w:eastAsia="宋体"/>
          <w:b w:val="0"/>
          <w:i w:val="0"/>
          <w:color w:val="000000"/>
          <w:sz w:val="24"/>
        </w:rPr>
        <w:t>在早期的工程实际中，独立单回路 PID 或级联 PID 控制得到了广泛应用，其不依赖精确数学模型，通过误差积分消除稳态偏差，在平稳水流环境下的定点悬停或</w:t>
      </w:r>
      <w:r>
        <w:rPr>
          <w:rFonts w:ascii="Times New Roman" w:hAnsi="Times New Roman" w:cs="Times New Roman" w:eastAsia="宋体"/>
          <w:b w:val="0"/>
          <w:i w:val="0"/>
          <w:color w:val="000000"/>
          <w:sz w:val="24"/>
        </w:rPr>
        <w:t>低速巡航</w:t>
      </w:r>
      <w:r>
        <w:rPr>
          <w:rFonts w:ascii="Times New Roman" w:hAnsi="Times New Roman" w:cs="Times New Roman" w:eastAsia="宋体"/>
          <w:b w:val="0"/>
          <w:i w:val="0"/>
          <w:color w:val="000000"/>
          <w:sz w:val="24"/>
        </w:rPr>
        <w:t>中具备较好实用性</w:t>
      </w:r>
      <w:hyperlink w:anchor="_Ref_Paper_1" w:history="1">
        <w:r>
          <w:rPr>
            <w:rFonts w:ascii="Times New Roman" w:hAnsi="Times New Roman" w:cs="Times New Roman" w:eastAsia="宋体"/>
            <w:sz w:val="24"/>
            <w:szCs w:val="24"/>
            <w:color w:val="000000"/>
            <w:vertAlign w:val="superscript"/>
          </w:rPr>
          <w:t>[1]</w:t>
        </w:r>
      </w:hyperlink>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。然而，开架式八推进器水下航行器本质上是一个</w:t>
      </w:r>
      <w:r>
        <w:rPr>
          <w:rFonts w:ascii="Times New Roman" w:hAnsi="Times New Roman" w:cs="Times New Roman" w:eastAsia="宋体"/>
          <w:b w:val="0"/>
          <w:i w:val="0"/>
          <w:color w:val="000000"/>
          <w:sz w:val="24"/>
        </w:rPr>
        <w:t>非线性、多轴耦合</w:t>
      </w:r>
      <w:r>
        <w:rPr>
          <w:rFonts w:ascii="Times New Roman" w:hAnsi="Times New Roman" w:cs="Times New Roman" w:eastAsia="宋体"/>
          <w:b w:val="0"/>
          <w:i w:val="0"/>
          <w:color w:val="000000"/>
          <w:sz w:val="24"/>
        </w:rPr>
        <w:t>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w:t>
      </w:r>
      <w:r>
        <w:rPr>
          <w:rFonts w:ascii="Times New Roman" w:hAnsi="Times New Roman" w:cs="Times New Roman" w:eastAsia="宋体"/>
          <w:b w:val="0"/>
          <w:i w:val="0"/>
          <w:color w:val="000000"/>
          <w:sz w:val="24"/>
        </w:rPr>
        <w:t>较大幅度机动时出现超调偏大或推进器输出抖振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w:t>
      </w:r>
      <w:r>
        <w:rPr>
          <w:rFonts w:ascii="Times New Roman" w:hAnsi="Times New Roman" w:cs="Times New Roman" w:eastAsia="宋体"/>
          <w:b w:val="0"/>
          <w:i w:val="0"/>
          <w:color w:val="000000"/>
          <w:sz w:val="24"/>
        </w:rPr>
        <w:t>问题</w:t>
      </w:r>
      <w:r>
        <w:rPr>
          <w:rFonts w:ascii="Times New Roman" w:hAnsi="Times New Roman" w:cs="Times New Roman" w:eastAsia="宋体"/>
          <w:b w:val="0"/>
          <w:i w:val="0"/>
          <w:color w:val="000000"/>
          <w:sz w:val="24"/>
        </w:rPr>
        <w:t>，结合动力学模型已知特性与实时状态反馈的现代控制方法成为水下航行器控制领域的研究重点。Fernandes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w:t>
      </w:r>
      <w:r>
        <w:rPr>
          <w:rFonts w:ascii="Times New Roman" w:hAnsi="Times New Roman" w:cs="Times New Roman" w:eastAsia="宋体"/>
          <w:b w:val="0"/>
          <w:i w:val="0"/>
          <w:color w:val="000000"/>
          <w:sz w:val="24"/>
        </w:rPr>
        <w:t>验证了有效性</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等针对实际水下航行器普遍存在的推进器电机一阶动态延迟与推力幅值饱和问题，提出了一种融合动力学模型前馈补偿与自适应参数更新的轨迹跟踪控制方法，</w:t>
      </w:r>
      <w:r>
        <w:rPr>
          <w:rFonts w:ascii="Times New Roman" w:hAnsi="Times New Roman" w:cs="Times New Roman" w:eastAsia="宋体"/>
          <w:b w:val="0"/>
          <w:i w:val="0"/>
          <w:color w:val="000000"/>
          <w:sz w:val="24"/>
        </w:rPr>
        <w:t>降低了水动力阻尼参数不确定性对跟踪精度的影响，并在推进器达到推力上限时保持了良好的闭环稳定性</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w:t>
      </w:r>
      <w:r>
        <w:rPr>
          <w:rFonts w:ascii="Times New Roman" w:hAnsi="Times New Roman" w:cs="Times New Roman" w:eastAsia="宋体"/>
          <w:b w:val="0"/>
          <w:i w:val="0"/>
          <w:color w:val="000000"/>
          <w:sz w:val="24"/>
        </w:rPr>
        <w:t>解耦，基于反馈线性化与动态逆思想的控制方法也得到了深入探索</w:t>
      </w:r>
      <w:r>
        <w:rPr>
          <w:rFonts w:ascii="Times New Roman" w:hAnsi="Times New Roman" w:cs="Times New Roman" w:eastAsia="宋体"/>
          <w:b w:val="0"/>
          <w:i w:val="0"/>
          <w:color w:val="000000"/>
          <w:sz w:val="24"/>
        </w:rPr>
        <w:t>。这类方法的核心思路在于利用动力学模型计算出抵消已知非线性项（如静水力恢复项、科氏力与主导阻尼项）所需的前馈控制力矩，将非线性耦合系统在</w:t>
      </w:r>
      <w:r>
        <w:rPr>
          <w:rFonts w:ascii="Times New Roman" w:hAnsi="Times New Roman" w:cs="Times New Roman" w:eastAsia="宋体"/>
          <w:b w:val="0"/>
          <w:i w:val="0"/>
          <w:color w:val="000000"/>
          <w:sz w:val="24"/>
        </w:rPr>
        <w:t>标称意义上等效转化为解耦的线性通道，从而简化闭环状态反馈控制器的参数整定。此外，针对全状态精确机理模型难以完整获取的客观现实，学者们进一步探索了增量非线性动态逆（INDI）等局部增量控制方法。Smeur、Chu 等在微型飞行器姿态控制中系统建立了自适应增量非线性动态逆控制框架，利用角加速度高频反馈与同步滤波补偿有效抑制了模型不确定性与外部风扰的影响</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；在此基础上，Slawik 等进一步将增量动态逆方法引入特技作业水下航行器（Cuttlefish AUV）的姿态控制中，结合标称水动力模型与传感器反馈在局部时间微元内补偿未建模动态，展现出较好的动态抗扰能力</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w:t>
      </w:r>
      <w:r>
        <w:rPr>
          <w:rFonts w:ascii="Times New Roman" w:hAnsi="Times New Roman" w:cs="Times New Roman" w:eastAsia="宋体"/>
          <w:b w:val="0"/>
          <w:i w:val="0"/>
          <w:color w:val="000000"/>
          <w:sz w:val="24"/>
        </w:rPr>
        <w:t>能够在保证系统闭环稳定性的同时，为后续结合平台特性</w:t>
      </w:r>
      <w:r>
        <w:rPr>
          <w:rFonts w:ascii="Times New Roman" w:hAnsi="Times New Roman" w:cs="Times New Roman" w:eastAsia="宋体"/>
          <w:b w:val="0"/>
          <w:i w:val="0"/>
          <w:color w:val="000000"/>
          <w:sz w:val="24"/>
        </w:rPr>
        <w:t>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对于配备八个推进器的全驱动开架式水下航行器而言，其独立的物理执行器通道数量（8 个推进器）</w:t>
      </w:r>
      <w:r>
        <w:rPr>
          <w:rFonts w:ascii="Times New Roman" w:hAnsi="Times New Roman" w:cs="Times New Roman" w:eastAsia="宋体"/>
          <w:b w:val="0"/>
          <w:i w:val="0"/>
          <w:color w:val="000000"/>
          <w:sz w:val="24"/>
        </w:rPr>
        <w:t>大于</w:t>
      </w:r>
      <w:r>
        <w:rPr>
          <w:rFonts w:ascii="Times New Roman" w:hAnsi="Times New Roman" w:cs="Times New Roman" w:eastAsia="宋体"/>
          <w:b w:val="0"/>
          <w:i w:val="0"/>
          <w:color w:val="000000"/>
          <w:sz w:val="24"/>
        </w:rPr>
        <w:t xml:space="preserve">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w:t>
      </w:r>
      <w:r>
        <w:rPr>
          <w:rFonts w:ascii="Times New Roman" w:hAnsi="Times New Roman" w:cs="Times New Roman" w:eastAsia="宋体"/>
          <w:b w:val="0"/>
          <w:i w:val="0"/>
          <w:color w:val="000000"/>
          <w:sz w:val="24"/>
        </w:rPr>
        <w:t>低失真地</w:t>
      </w:r>
      <w:r>
        <w:rPr>
          <w:rFonts w:ascii="Times New Roman" w:hAnsi="Times New Roman" w:cs="Times New Roman" w:eastAsia="宋体"/>
          <w:b w:val="0"/>
          <w:i w:val="0"/>
          <w:color w:val="000000"/>
          <w:sz w:val="24"/>
        </w:rPr>
        <w:t>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；随后，Johansen 与 Fossen 在控制分配综述中进一步完善了无约束广义逆、有界二次规划及再分配方法的理论体系</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w:t>
      </w:r>
      <w:r>
        <w:rPr>
          <w:rFonts w:ascii="Times New Roman" w:hAnsi="Times New Roman" w:cs="Times New Roman" w:eastAsia="宋体"/>
          <w:b w:val="0"/>
          <w:i w:val="0"/>
          <w:color w:val="000000"/>
          <w:sz w:val="24"/>
        </w:rPr>
        <w:t>计算开销小，在工程中得到了广泛的基础应用</w:t>
      </w:r>
      <w:r>
        <w:rPr>
          <w:rFonts w:ascii="Times New Roman" w:hAnsi="Times New Roman" w:cs="Times New Roman" w:eastAsia="宋体"/>
          <w:b w:val="0"/>
          <w:i w:val="0"/>
          <w:color w:val="000000"/>
          <w:sz w:val="24"/>
        </w:rPr>
        <w:t>；通过在伪逆中引入对角加权矩阵（加权伪逆法），能够根据推进器物理尺寸、功率或安装力臂灵活分配控制权重。万磊、徐玉如与庞永杰等较早针对多推力器水下机器人的控制分配开展了</w:t>
      </w:r>
      <w:r>
        <w:rPr>
          <w:rFonts w:ascii="Times New Roman" w:hAnsi="Times New Roman" w:cs="Times New Roman" w:eastAsia="宋体"/>
          <w:b w:val="0"/>
          <w:i w:val="0"/>
          <w:color w:val="000000"/>
          <w:sz w:val="24"/>
        </w:rPr>
        <w:t>系统性研究，探讨了基于广义逆与加权伪逆的推力协调方案，并拓展到了推力器故障下的容错重构分配领域</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w:t>
      </w:r>
      <w:r>
        <w:rPr>
          <w:rFonts w:ascii="Times New Roman" w:hAnsi="Times New Roman" w:cs="Times New Roman" w:eastAsia="宋体"/>
          <w:b w:val="0"/>
          <w:i w:val="0"/>
          <w:color w:val="000000"/>
          <w:sz w:val="24"/>
        </w:rPr>
        <w:t>明确的物理边界约束：推进器电机转速存在上限，导致正向推力与反向推力存在确定的幅值边界，且螺旋桨水动力特性决定了正转推力通常大于反转推力。</w:t>
      </w:r>
      <w:r>
        <w:rPr>
          <w:rFonts w:ascii="Times New Roman" w:hAnsi="Times New Roman" w:cs="Times New Roman" w:eastAsia="宋体"/>
          <w:b w:val="0"/>
          <w:i w:val="0"/>
          <w:color w:val="000000"/>
          <w:sz w:val="24"/>
        </w:rPr>
        <w:t>若直接采用无约束伪逆求解，当某一个或多个推进器计算推力超出物理上限时，简单的截断饱和处理会导致实际产生的六维广义力和力矩方向发生偏转，即出现</w:t>
      </w:r>
      <w:r>
        <w:rPr>
          <w:rFonts w:ascii="Times New Roman" w:hAnsi="Times New Roman" w:cs="Times New Roman" w:eastAsia="宋体"/>
          <w:b w:val="0"/>
          <w:i w:val="0"/>
          <w:color w:val="000000"/>
          <w:sz w:val="24"/>
        </w:rPr>
        <w:t>“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w:t>
      </w:r>
      <w:r>
        <w:rPr>
          <w:rFonts w:ascii="Times New Roman" w:hAnsi="Times New Roman" w:cs="Times New Roman" w:eastAsia="宋体"/>
          <w:b w:val="0"/>
          <w:i w:val="0"/>
          <w:color w:val="000000"/>
          <w:sz w:val="24"/>
        </w:rPr>
        <w:t>矩阵，并在求解流程中合理考虑推进器基本推力输出范围约束，是连接上层闭环运动控制器与底层执行机构的核心纽带</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w:t>
      </w:r>
      <w:r>
        <w:rPr>
          <w:rFonts w:ascii="Times New Roman" w:hAnsi="Times New Roman" w:cs="Times New Roman" w:eastAsia="宋体"/>
          <w:b w:val="0"/>
          <w:i w:val="0"/>
          <w:color w:val="000000"/>
          <w:sz w:val="24"/>
        </w:rPr>
        <w:t>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w:t>
      </w:r>
      <w:r>
        <w:rPr>
          <w:rFonts w:ascii="Times New Roman" w:hAnsi="Times New Roman" w:cs="Times New Roman" w:eastAsia="宋体"/>
          <w:b w:val="0"/>
          <w:i w:val="0"/>
          <w:color w:val="000000"/>
          <w:sz w:val="24"/>
        </w:rPr>
        <w:t>是当前无人系统领域广泛应用的开源嵌入式控制软件框架之一</w:t>
      </w:r>
      <w:hyperlink w:anchor="_Ref_Paper_18" w:history="1">
        <w:r>
          <w:rPr>
            <w:rFonts w:ascii="Times New Roman" w:hAnsi="Times New Roman" w:cs="Times New Roman" w:eastAsia="宋体"/>
            <w:sz w:val="24"/>
            <w:szCs w:val="24"/>
            <w:color w:val="000000"/>
            <w:vertAlign w:val="superscript"/>
          </w:rPr>
          <w:t>[18]</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w:t>
      </w:r>
      <w:r>
        <w:rPr>
          <w:rFonts w:ascii="Times New Roman" w:hAnsi="Times New Roman" w:cs="Times New Roman" w:eastAsia="宋体"/>
          <w:b w:val="0"/>
          <w:i w:val="0"/>
          <w:color w:val="000000"/>
          <w:sz w:val="24"/>
        </w:rPr>
        <w:t>，核心数据链路依托基于共享内存的微对象请求代理（uORB）异步发布/订阅总线构建。在 PX4 架构中，</w:t>
      </w:r>
      <w:r>
        <w:rPr>
          <w:rFonts w:ascii="Times New Roman" w:hAnsi="Times New Roman" w:cs="Times New Roman" w:eastAsia="宋体"/>
          <w:b w:val="0"/>
          <w:i w:val="0"/>
          <w:color w:val="000000"/>
          <w:sz w:val="24"/>
        </w:rPr>
        <w:t>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w:t>
      </w:r>
      <w:r>
        <w:rPr>
          <w:rFonts w:ascii="Times New Roman" w:hAnsi="Times New Roman" w:cs="Times New Roman" w:eastAsia="宋体"/>
          <w:b w:val="0"/>
          <w:i w:val="0"/>
          <w:color w:val="000000"/>
          <w:sz w:val="24"/>
        </w:rPr>
        <w:t>空中多旋翼与固定翼飞行器进行设计</w:t>
      </w:r>
      <w:r>
        <w:rPr>
          <w:rFonts w:ascii="Times New Roman" w:hAnsi="Times New Roman" w:cs="Times New Roman" w:eastAsia="宋体"/>
          <w:b w:val="0"/>
          <w:i w:val="0"/>
          <w:color w:val="000000"/>
          <w:sz w:val="24"/>
        </w:rPr>
        <w:t>。凭借其</w:t>
      </w:r>
      <w:r>
        <w:rPr>
          <w:rFonts w:ascii="Times New Roman" w:hAnsi="Times New Roman" w:cs="Times New Roman" w:eastAsia="宋体"/>
          <w:b w:val="0"/>
          <w:i w:val="0"/>
          <w:color w:val="000000"/>
          <w:sz w:val="24"/>
        </w:rPr>
        <w:t>模块化的控制分配架构</w:t>
      </w:r>
      <w:r>
        <w:rPr>
          <w:rFonts w:ascii="Times New Roman" w:hAnsi="Times New Roman" w:cs="Times New Roman" w:eastAsia="宋体"/>
          <w:b w:val="0"/>
          <w:i w:val="0"/>
          <w:color w:val="000000"/>
          <w:sz w:val="24"/>
        </w:rPr>
        <w:t>与良好的可扩展性，近年来国内外研究</w:t>
      </w:r>
      <w:r>
        <w:rPr>
          <w:rFonts w:ascii="Times New Roman" w:hAnsi="Times New Roman" w:cs="Times New Roman" w:eastAsia="宋体"/>
          <w:b w:val="0"/>
          <w:i w:val="0"/>
          <w:color w:val="000000"/>
          <w:sz w:val="24"/>
        </w:rPr>
        <w:t>团队开始将 PX4 引入水下无人航行器研究领域。德国汉堡工业大学 Hackbarth、Kreuzer 等基于 PX4 架构成功研制了 HippoCampus 微型水下航行器，验证了复用 PX4 模块化控制架构开展水下机器人姿态控制的可行性</w:t>
      </w:r>
      <w:hyperlink w:anchor="_Ref_Paper_19" w:history="1">
        <w:r>
          <w:rPr>
            <w:rFonts w:ascii="Times New Roman" w:hAnsi="Times New Roman" w:cs="Times New Roman" w:eastAsia="宋体"/>
            <w:sz w:val="24"/>
            <w:szCs w:val="24"/>
            <w:color w:val="000000"/>
            <w:vertAlign w:val="superscript"/>
          </w:rPr>
          <w:t>[19]</w:t>
        </w:r>
      </w:hyperlink>
      <w:r>
        <w:rPr>
          <w:rFonts w:ascii="Times New Roman" w:hAnsi="Times New Roman" w:cs="Times New Roman" w:eastAsia="宋体"/>
          <w:b w:val="0"/>
          <w:i w:val="0"/>
          <w:color w:val="000000"/>
          <w:sz w:val="24"/>
        </w:rPr>
        <w:t>；随后，Duecker 等进一步推出了改进型开源水下平台 HippoCampus X，依托基于 PX4 的软件在环仿真与水池实验完成了受限水域下的三维机动控制验证，证实了基于 PX4/SITL 构建水下航行器闭环仿真与控制验证体系的工程合理性</w:t>
      </w:r>
      <w:hyperlink w:anchor="_Ref_Paper_20" w:history="1">
        <w:r>
          <w:rPr>
            <w:rFonts w:ascii="Times New Roman" w:hAnsi="Times New Roman" w:cs="Times New Roman" w:eastAsia="宋体"/>
            <w:sz w:val="24"/>
            <w:szCs w:val="24"/>
            <w:color w:val="000000"/>
            <w:vertAlign w:val="superscript"/>
          </w:rPr>
          <w:t>[20]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[12]</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w:t>
      </w:r>
      <w:r>
        <w:rPr>
          <w:rFonts w:ascii="Times New Roman" w:hAnsi="Times New Roman" w:cs="Times New Roman" w:eastAsia="宋体"/>
          <w:b w:val="0"/>
          <w:i w:val="0"/>
          <w:color w:val="000000"/>
          <w:sz w:val="24"/>
        </w:rPr>
        <w:t>与表 1 对比分析</w:t>
      </w:r>
      <w:r>
        <w:rPr>
          <w:rFonts w:ascii="Times New Roman" w:hAnsi="Times New Roman" w:cs="Times New Roman" w:eastAsia="宋体"/>
          <w:b w:val="0"/>
          <w:i w:val="0"/>
          <w:color w:val="000000"/>
          <w:sz w:val="24"/>
        </w:rPr>
        <w:t>，可以提炼出当前水下无人航行器控制领域的发展趋势与对本课题的关键启示：一是系统研发呈现出机理建模、数据辨识、模型控制、推力分配与飞控闭环仿真全链路协同推进的发展趋势；二是在水下非线性不确定性与</w:t>
      </w:r>
      <w:r>
        <w:rPr>
          <w:rFonts w:ascii="Times New Roman" w:hAnsi="Times New Roman" w:cs="Times New Roman" w:eastAsia="宋体"/>
          <w:b w:val="0"/>
          <w:i w:val="0"/>
          <w:color w:val="000000"/>
          <w:sz w:val="24"/>
        </w:rPr>
        <w:t>流扰背景下，盲目追求结构过于复杂的强自适应或过度拘泥于某一种先验假设严苛的单一算法，容易在实际水流工况下出现鲁棒性不足；稳健且具工程可行性的方法，是以经验证的标称模型为基石</w:t>
      </w:r>
      <w:r>
        <w:rPr>
          <w:rFonts w:ascii="Times New Roman" w:hAnsi="Times New Roman" w:cs="Times New Roman" w:eastAsia="宋体"/>
          <w:b w:val="0"/>
          <w:i w:val="0"/>
          <w:color w:val="000000"/>
          <w:sz w:val="24"/>
        </w:rPr>
        <w:t>，结合系统状态反馈构建通用且弹性的控制律框架，为后续结合实际辨识结果展开方法比选留出充分的方法比选空间与算法拓展余地；三是依托成熟的开源自主系统飞控架构（如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体系。</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1）水下航行器动力学建模与系统辨识：</w:t>
      </w:r>
      <w:r>
        <w:rPr>
          <w:rFonts w:ascii="Times New Roman" w:hAnsi="Times New Roman" w:cs="Times New Roman" w:eastAsia="宋体"/>
          <w:b w:val="0"/>
          <w:i w:val="0"/>
          <w:color w:val="000000"/>
          <w:sz w:val="24"/>
        </w:rPr>
        <w:t>依托已有八推进器水下航行器平台，建立六自由度运动学与动力学模型，综合考虑刚体惯性、水动力附加质量、科氏向心力、水动力阻尼以及重浮力恢复力矩等主导物理效应，并结合已有平台推进器特性建立单个推进器或执行机构的必要模型。在理论动力学模型基础上，明确系统辨识的输入、输出及所需数据，结合平台参数资料和相关数据开展系统辨识，对模型中的关键未知量进行辨识和修正。通过代表性动态响应对模型进行验证，分析模型与相关数据之间的偏差及适用范围，得到用于运动控制设计和PX4/SITL闭环仿真的航行器模型。</w:t>
      </w:r>
    </w:p>
    <w:p>
      <w:pPr>
        <w:pStyle w:val="a7"/>
        <w:jc w:val="both"/>
        <w:spacing w:line="360" w:lineRule="auto"/>
        <w:ind w:firstLineChars="200" w:firstLine="480"/>
      </w:pPr>
      <w:r>
        <w:rPr>
          <w:rFonts w:ascii="Times New Roman" w:hAnsi="Times New Roman" w:cs="Times New Roman" w:eastAsia="宋体"/>
          <w:b/>
          <w:i w:val="0"/>
          <w:color w:val="000000"/>
          <w:sz w:val="24"/>
        </w:rPr>
        <w:t>2）水下航行器运动控制方法研究：</w:t>
      </w:r>
      <w:r>
        <w:rPr>
          <w:rFonts w:ascii="Times New Roman" w:hAnsi="Times New Roman" w:cs="Times New Roman" w:eastAsia="宋体"/>
          <w:b w:val="0"/>
          <w:i w:val="0"/>
          <w:color w:val="000000"/>
          <w:sz w:val="24"/>
        </w:rPr>
        <w:t>以建立并验证的航行器模型为基础，结合航行器动力学特性和状态反馈构建闭环运动控制系统。基于参考指令与实时状态之间的跟踪误差设计闭环反馈控制律，形成航行器所需的期望广义力和力矩，实现姿态、深度和航向等基本运动状态的闭环控制。选取代表性运动工况分析跟踪性能和动态特性，并考察模型误差及外部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3）八推进器控制分配：</w:t>
      </w:r>
      <w:r>
        <w:rPr>
          <w:rFonts w:ascii="Times New Roman" w:hAnsi="Times New Roman" w:cs="Times New Roman" w:eastAsia="宋体"/>
          <w:b w:val="0"/>
          <w:i w:val="0"/>
          <w:color w:val="000000"/>
          <w:sz w:val="24"/>
        </w:rPr>
        <w:t>根据已有八推进器平台的推进器安装位置、推力方向及力臂关系，建立各推进器推力与航行器广义力、力矩之间的映射关系及八推进器控制分配矩阵。针对八推进器配置，将运动控制模块输出的期望广义力和力矩转换为各推进器推力指令，并结合推进器实际输出范围考虑基本推力约束。结合控制分配误差和各推进器输出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4）PX4/SITL闭环仿真与系统验证：</w:t>
      </w:r>
      <w:r>
        <w:rPr>
          <w:rFonts w:ascii="Times New Roman" w:hAnsi="Times New Roman" w:cs="Times New Roman" w:eastAsia="宋体"/>
          <w:b w:val="0"/>
          <w:i w:val="0"/>
          <w:color w:val="000000"/>
          <w:sz w:val="24"/>
        </w:rPr>
        <w:t>在PX4/SITL环境下构建由航行器动力学模型、运动控制模块和八推进器控制分配模块组成的闭环仿真系统，通过uORB完成必要的状态信息、控制量和推进器指令交互。选取代表性运动工况并设置相应扰动条件，考察闭环系统的动态特性和控制效果；结合跟踪误差、动态响应和控制分配误差等必要指标进行性能分析，验证闭环系统的控制效果。</w:t>
      </w:r>
    </w:p>
    <w:p>
      <w:pPr>
        <w:pStyle w:val="a7"/>
        <w:jc w:val="both"/>
        <w:spacing w:line="360" w:lineRule="auto"/>
        <w:ind w:firstLineChars="200" w:firstLine="480"/>
      </w:pPr>
      <w:r>
        <w:rPr>
          <w:rFonts w:ascii="Times New Roman" w:hAnsi="Times New Roman" w:cs="Times New Roman" w:eastAsia="黑体"/>
          <w:b w:val="0"/>
          <w:i w:val="0"/>
          <w:color w:val="000000"/>
          <w:sz w:val="24"/>
        </w:rPr>
        <w:t>（3）毕业论文拟定章节安排</w:t>
      </w:r>
    </w:p>
    <w:p>
      <w:pPr>
        <w:pStyle w:val="a7"/>
        <w:jc w:val="both"/>
        <w:spacing w:line="360" w:lineRule="auto"/>
        <w:ind w:firstLineChars="200" w:firstLine="480"/>
      </w:pPr>
      <w:r>
        <w:rPr>
          <w:rFonts w:ascii="Times New Roman" w:hAnsi="Times New Roman" w:cs="Times New Roman" w:eastAsia="宋体"/>
          <w:b w:val="0"/>
          <w:i w:val="0"/>
          <w:color w:val="000000"/>
          <w:sz w:val="24"/>
        </w:rPr>
        <w:t>结合上述研究内容，本毕业论文正文拟划分为以下六个章节展开论述：</w:t>
      </w:r>
    </w:p>
    <w:p>
      <w:pPr>
        <w:pStyle w:val="a7"/>
        <w:jc w:val="both"/>
        <w:spacing w:line="360" w:lineRule="auto"/>
        <w:ind w:firstLineChars="200" w:firstLine="480"/>
      </w:pPr>
      <w:r>
        <w:rPr>
          <w:rFonts w:ascii="Times New Roman" w:hAnsi="Times New Roman" w:cs="Times New Roman" w:eastAsia="宋体"/>
          <w:b/>
          <w:i w:val="0"/>
          <w:color w:val="000000"/>
          <w:sz w:val="24"/>
        </w:rPr>
        <w:t>第一章：绪论。</w:t>
      </w:r>
      <w:r>
        <w:rPr>
          <w:rFonts w:ascii="Times New Roman" w:hAnsi="Times New Roman" w:cs="Times New Roman" w:eastAsia="宋体"/>
          <w:b w:val="0"/>
          <w:i w:val="0"/>
          <w:color w:val="000000"/>
          <w:sz w:val="24"/>
        </w:rPr>
        <w:t>阐述课题背景、研究目的与意义，系统综述水下航行器动力学建模与系统辨识、运动控制、多推进器控制分配及基于 PX4 的闭环仿真国内外研究现状，明确本文的主要研究内容与章节组织结构。</w:t>
      </w:r>
    </w:p>
    <w:p>
      <w:pPr>
        <w:pStyle w:val="a7"/>
        <w:jc w:val="both"/>
        <w:spacing w:line="360" w:lineRule="auto"/>
        <w:ind w:firstLineChars="200" w:firstLine="480"/>
      </w:pPr>
      <w:r>
        <w:rPr>
          <w:rFonts w:ascii="Times New Roman" w:hAnsi="Times New Roman" w:cs="Times New Roman" w:eastAsia="宋体"/>
          <w:b/>
          <w:i w:val="0"/>
          <w:color w:val="000000"/>
          <w:sz w:val="24"/>
        </w:rPr>
        <w:t>第二章：八推进器水下航行器六自由度动力学与推进器建模。</w:t>
      </w:r>
      <w:r>
        <w:rPr>
          <w:rFonts w:ascii="Times New Roman" w:hAnsi="Times New Roman" w:cs="Times New Roman" w:eastAsia="宋体"/>
          <w:b w:val="0"/>
          <w:i w:val="0"/>
          <w:color w:val="000000"/>
          <w:sz w:val="24"/>
        </w:rPr>
        <w:t>梳理已有八推进器开架式平台机械构型与空间几何关系，定义北东地惯性系与附体坐标系，推导包含刚体惯性、附加质量、科氏向心力、线性和二次水动力阻尼及重浮力恢复作用的六自由度非线性动力学模型及单推进器特性模型。</w:t>
      </w:r>
    </w:p>
    <w:p>
      <w:pPr>
        <w:pStyle w:val="a7"/>
        <w:jc w:val="both"/>
        <w:spacing w:line="360" w:lineRule="auto"/>
        <w:ind w:firstLineChars="200" w:firstLine="480"/>
      </w:pPr>
      <w:r>
        <w:rPr>
          <w:rFonts w:ascii="Times New Roman" w:hAnsi="Times New Roman" w:cs="Times New Roman" w:eastAsia="宋体"/>
          <w:b/>
          <w:i w:val="0"/>
          <w:color w:val="000000"/>
          <w:sz w:val="24"/>
        </w:rPr>
        <w:t>第三章：水下航行器水动力参数系统辨识与模型验证。</w:t>
      </w:r>
      <w:r>
        <w:rPr>
          <w:rFonts w:ascii="Times New Roman" w:hAnsi="Times New Roman" w:cs="Times New Roman" w:eastAsia="宋体"/>
          <w:b w:val="0"/>
          <w:i w:val="0"/>
          <w:color w:val="000000"/>
          <w:sz w:val="24"/>
        </w:rPr>
        <w:t>分析各自由度动力学方程的参数可辨识性，明确辨识激励输入与状态响应输出关系，结合已有平台参数资料与相关数据完成关键未知水动力参数的估计与修正，并通过代表性动态响应对比分析模型拟合误差与适用范围。</w:t>
      </w:r>
    </w:p>
    <w:p>
      <w:pPr>
        <w:pStyle w:val="a7"/>
        <w:jc w:val="both"/>
        <w:spacing w:line="360" w:lineRule="auto"/>
        <w:ind w:firstLineChars="200" w:firstLine="480"/>
      </w:pPr>
      <w:r>
        <w:rPr>
          <w:rFonts w:ascii="Times New Roman" w:hAnsi="Times New Roman" w:cs="Times New Roman" w:eastAsia="宋体"/>
          <w:b/>
          <w:i w:val="0"/>
          <w:color w:val="000000"/>
          <w:sz w:val="24"/>
        </w:rPr>
        <w:t>第四章：基于模型与状态反馈的运动控制及八推进器控制分配设计。</w:t>
      </w:r>
      <w:r>
        <w:rPr>
          <w:rFonts w:ascii="Times New Roman" w:hAnsi="Times New Roman" w:cs="Times New Roman" w:eastAsia="宋体"/>
          <w:b w:val="0"/>
          <w:i w:val="0"/>
          <w:color w:val="000000"/>
          <w:sz w:val="24"/>
        </w:rPr>
        <w:t xml:space="preserve">以经验证的标称动力学模型为基础，设计融合模型特性补偿与实时状态误差反馈的闭环运动控制律，开展不同补偿与反馈形式的对比分析；建立八推进器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控制分配矩阵，研究考虑推进器基本推力输出范围约束的推力分配方法并量化分析控制分配残差。</w:t>
      </w:r>
    </w:p>
    <w:p>
      <w:pPr>
        <w:pStyle w:val="a7"/>
        <w:jc w:val="both"/>
        <w:spacing w:line="360" w:lineRule="auto"/>
        <w:ind w:firstLineChars="200" w:firstLine="480"/>
      </w:pPr>
      <w:r>
        <w:rPr>
          <w:rFonts w:ascii="Times New Roman" w:hAnsi="Times New Roman" w:cs="Times New Roman" w:eastAsia="宋体"/>
          <w:b/>
          <w:i w:val="0"/>
          <w:color w:val="000000"/>
          <w:sz w:val="24"/>
        </w:rPr>
        <w:t>第五章：基于 PX4/SITL 的闭环仿真系统集成与多工况性能验证。</w:t>
      </w:r>
      <w:r>
        <w:rPr>
          <w:rFonts w:ascii="Times New Roman" w:hAnsi="Times New Roman" w:cs="Times New Roman" w:eastAsia="宋体"/>
          <w:b w:val="0"/>
          <w:i w:val="0"/>
          <w:color w:val="000000"/>
          <w:sz w:val="24"/>
        </w:rPr>
        <w:t>基于 PX4 模块化架构与 uORB 通信机制完成水下航行器动力学模型、运动控制模块与八推进器控制分配模块的软件在环闭环集成，开展姿态、深度、航向等代表性运动工况及外部流扰条件下的仿真实验与定量指标评价。</w:t>
      </w:r>
    </w:p>
    <w:p>
      <w:pPr>
        <w:pStyle w:val="a7"/>
        <w:jc w:val="both"/>
        <w:spacing w:line="360" w:lineRule="auto"/>
        <w:ind w:firstLineChars="200" w:firstLine="480"/>
      </w:pPr>
      <w:r>
        <w:rPr>
          <w:rFonts w:ascii="Times New Roman" w:hAnsi="Times New Roman" w:cs="Times New Roman" w:eastAsia="宋体"/>
          <w:b/>
          <w:i w:val="0"/>
          <w:color w:val="000000"/>
          <w:sz w:val="24"/>
        </w:rPr>
        <w:t>第六章：总结与展望。</w:t>
      </w:r>
      <w:r>
        <w:rPr>
          <w:rFonts w:ascii="Times New Roman" w:hAnsi="Times New Roman" w:cs="Times New Roman" w:eastAsia="宋体"/>
          <w:b w:val="0"/>
          <w:i w:val="0"/>
          <w:color w:val="000000"/>
          <w:sz w:val="24"/>
        </w:rPr>
        <w:t>总结全文在建模辨识、运动控制、八推进器推力分配及 PX4/SITL 闭环验证方面取得的研究成果，分析存在的不足并展望后续实机水池试验与拓展研究方向。</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w:t>
      </w:r>
      <w:r>
        <w:rPr>
          <w:rFonts w:ascii="Times New Roman" w:hAnsi="Times New Roman" w:cs="Times New Roman" w:eastAsia="宋体"/>
          <w:b w:val="0"/>
          <w:i w:val="0"/>
          <w:color w:val="000000"/>
          <w:sz w:val="24"/>
        </w:rPr>
        <w:t>、受约束控制分配求解</w:t>
      </w:r>
      <w:r>
        <w:rPr>
          <w:rFonts w:ascii="Times New Roman" w:hAnsi="Times New Roman" w:cs="Times New Roman" w:eastAsia="宋体"/>
          <w:b w:val="0"/>
          <w:i w:val="0"/>
          <w:color w:val="000000"/>
          <w:sz w:val="24"/>
        </w:rPr>
        <w:t>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rPr>
        <w:t>如图 1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w:t>
      </w:r>
      <w:r>
        <w:rPr>
          <w:rFonts w:ascii="Times New Roman" w:hAnsi="Times New Roman" w:cs="Times New Roman" w:eastAsia="宋体"/>
          <w:b w:val="0"/>
          <w:i w:val="0"/>
          <w:color w:val="000000"/>
          <w:sz w:val="24"/>
        </w:rPr>
        <w:t>二次</w:t>
      </w:r>
      <w:r>
        <w:rPr>
          <w:rFonts w:ascii="Times New Roman" w:hAnsi="Times New Roman" w:cs="Times New Roman" w:eastAsia="宋体"/>
          <w:b w:val="0"/>
          <w:i w:val="0"/>
          <w:color w:val="000000"/>
          <w:sz w:val="24"/>
        </w:rPr>
        <w:t>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w:t>
      </w:r>
      <w:r>
        <w:rPr>
          <w:rFonts w:ascii="Times New Roman" w:hAnsi="Times New Roman" w:cs="Times New Roman" w:eastAsia="宋体"/>
          <w:b w:val="0"/>
          <w:i w:val="0"/>
          <w:color w:val="000000"/>
          <w:sz w:val="24"/>
        </w:rPr>
        <w:t>力矩</w:t>
      </w:r>
      <w:r>
        <w:rPr>
          <w:rFonts w:ascii="Times New Roman" w:hAnsi="Times New Roman" w:cs="Times New Roman" w:eastAsia="宋体"/>
          <w:b w:val="0"/>
          <w:i w:val="0"/>
          <w:color w:val="000000"/>
          <w:sz w:val="24"/>
        </w:rPr>
        <w:t>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827200"/>
            <wp:docPr id="1" name="Picture 1"/>
            <wp:cNvGraphicFramePr>
              <a:graphicFrameLocks noChangeAspect="1"/>
            </wp:cNvGraphicFramePr>
            <a:graphic>
              <a:graphicData uri="http://schemas.openxmlformats.org/drawingml/2006/picture">
                <pic:pic>
                  <pic:nvPicPr>
                    <pic:cNvPr id="0" name="fig0_rov_coord_thrusters.png"/>
                    <pic:cNvPicPr/>
                  </pic:nvPicPr>
                  <pic:blipFill>
                    <a:blip r:embed="rId10"/>
                    <a:stretch>
                      <a:fillRect/>
                    </a:stretch>
                  </pic:blipFill>
                  <pic:spPr>
                    <a:xfrm>
                      <a:off x="0" y="0"/>
                      <a:ext cx="5472000" cy="282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。根据动力学方程构造</w:t>
      </w:r>
      <w:r>
        <w:rPr>
          <w:rFonts w:ascii="Times New Roman" w:hAnsi="Times New Roman" w:cs="Times New Roman" w:eastAsia="宋体"/>
          <w:b w:val="0"/>
          <w:i w:val="0"/>
          <w:color w:val="000000"/>
          <w:sz w:val="24"/>
        </w:rPr>
        <w:t>激励</w:t>
      </w:r>
      <w:r>
        <w:rPr>
          <w:rFonts w:ascii="Times New Roman" w:hAnsi="Times New Roman" w:cs="Times New Roman" w:eastAsia="宋体"/>
          <w:b w:val="0"/>
          <w:i w:val="0"/>
          <w:color w:val="000000"/>
          <w:sz w:val="24"/>
        </w:rPr>
        <w:t>输入（推进器推力或广义控制力）与</w:t>
      </w:r>
      <w:r>
        <w:rPr>
          <w:rFonts w:ascii="Times New Roman" w:hAnsi="Times New Roman" w:cs="Times New Roman" w:eastAsia="宋体"/>
          <w:b w:val="0"/>
          <w:i w:val="0"/>
          <w:color w:val="000000"/>
          <w:sz w:val="24"/>
        </w:rPr>
        <w:t>状态</w:t>
      </w:r>
      <w:r>
        <w:rPr>
          <w:rFonts w:ascii="Times New Roman" w:hAnsi="Times New Roman" w:cs="Times New Roman" w:eastAsia="宋体"/>
          <w:b w:val="0"/>
          <w:i w:val="0"/>
          <w:color w:val="000000"/>
          <w:sz w:val="24"/>
        </w:rPr>
        <w:t>输出（</w:t>
      </w:r>
      <w:r>
        <w:rPr>
          <w:rFonts w:ascii="Times New Roman" w:hAnsi="Times New Roman" w:cs="Times New Roman" w:eastAsia="宋体"/>
          <w:b w:val="0"/>
          <w:i w:val="0"/>
          <w:color w:val="000000"/>
          <w:sz w:val="24"/>
        </w:rPr>
        <w:t>线速度、角速度</w:t>
      </w:r>
      <w:r>
        <w:rPr>
          <w:rFonts w:ascii="Times New Roman" w:hAnsi="Times New Roman" w:cs="Times New Roman" w:eastAsia="宋体"/>
          <w:b w:val="0"/>
          <w:i w:val="0"/>
          <w:color w:val="000000"/>
          <w:sz w:val="24"/>
        </w:rPr>
        <w:t>、姿态、深度等动态响应）之间的</w:t>
      </w:r>
      <w:r>
        <w:rPr>
          <w:rFonts w:ascii="Times New Roman" w:hAnsi="Times New Roman" w:cs="Times New Roman" w:eastAsia="宋体"/>
          <w:b w:val="0"/>
          <w:i w:val="0"/>
          <w:color w:val="000000"/>
          <w:sz w:val="24"/>
        </w:rPr>
        <w:t>参数化</w:t>
      </w:r>
      <w:r>
        <w:rPr>
          <w:rFonts w:ascii="Times New Roman" w:hAnsi="Times New Roman" w:cs="Times New Roman" w:eastAsia="宋体"/>
          <w:b w:val="0"/>
          <w:i w:val="0"/>
          <w:color w:val="000000"/>
          <w:sz w:val="24"/>
        </w:rPr>
        <w:t xml:space="preserve">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w:t>
      </w:r>
      <w:r>
        <w:rPr>
          <w:rFonts w:ascii="Times New Roman" w:hAnsi="Times New Roman" w:cs="Times New Roman" w:eastAsia="宋体"/>
          <w:b w:val="0"/>
          <w:i w:val="0"/>
          <w:color w:val="000000"/>
          <w:sz w:val="24"/>
        </w:rPr>
        <w:t xml:space="preserve">，获得经验证的标称模型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3）基于模型与状态反馈的闭环运动控制方法：</w:t>
      </w:r>
      <w:r>
        <w:rPr>
          <w:rFonts w:ascii="Times New Roman" w:hAnsi="Times New Roman" w:cs="Times New Roman" w:eastAsia="宋体"/>
          <w:b w:val="0"/>
          <w:i w:val="0"/>
          <w:color w:val="000000"/>
          <w:sz w:val="24"/>
        </w:rPr>
        <w:t>以经验证的航行器</w:t>
      </w:r>
      <w:r>
        <w:rPr>
          <w:rFonts w:ascii="Times New Roman" w:hAnsi="Times New Roman" w:cs="Times New Roman" w:eastAsia="宋体"/>
          <w:b w:val="0"/>
          <w:i w:val="0"/>
          <w:color w:val="000000"/>
          <w:sz w:val="24"/>
        </w:rPr>
        <w:t>标称</w:t>
      </w:r>
      <w:r>
        <w:rPr>
          <w:rFonts w:ascii="Times New Roman" w:hAnsi="Times New Roman" w:cs="Times New Roman" w:eastAsia="宋体"/>
          <w:b w:val="0"/>
          <w:i w:val="0"/>
          <w:color w:val="000000"/>
          <w:sz w:val="24"/>
        </w:rPr>
        <w:t>模型为基础，设参考</w:t>
      </w:r>
      <w:r>
        <w:rPr>
          <w:rFonts w:ascii="Times New Roman" w:hAnsi="Times New Roman" w:cs="Times New Roman" w:eastAsia="宋体"/>
          <w:b w:val="0"/>
          <w:i w:val="0"/>
          <w:color w:val="000000"/>
          <w:sz w:val="24"/>
        </w:rPr>
        <w:t>运动</w:t>
      </w:r>
      <w:r>
        <w:rPr>
          <w:rFonts w:ascii="Times New Roman" w:hAnsi="Times New Roman" w:cs="Times New Roman" w:eastAsia="宋体"/>
          <w:b w:val="0"/>
          <w:i w:val="0"/>
          <w:color w:val="000000"/>
          <w:sz w:val="24"/>
        </w:rPr>
        <w:t xml:space="preserve">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w:t>
      </w:r>
      <w:r>
        <w:rPr>
          <w:rFonts w:ascii="Times New Roman" w:hAnsi="Times New Roman" w:cs="Times New Roman" w:eastAsia="宋体"/>
          <w:b w:val="0"/>
          <w:i w:val="0"/>
          <w:color w:val="000000"/>
          <w:sz w:val="24"/>
        </w:rPr>
        <w:t>前馈补偿、反馈线性化或增量动态逆反馈形式，开展多工况对比与鲁棒性分析</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4）八推进器控制分配方法：</w:t>
      </w:r>
      <w:r>
        <w:rPr>
          <w:rFonts w:ascii="Times New Roman" w:hAnsi="Times New Roman" w:cs="Times New Roman" w:eastAsia="宋体"/>
          <w:b w:val="0"/>
          <w:i w:val="0"/>
          <w:color w:val="000000"/>
          <w:sz w:val="24"/>
        </w:rPr>
        <w:t>如图 1(b)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、动态响应指标及控制分配</w:t>
      </w:r>
      <w:r>
        <w:rPr>
          <w:rFonts w:ascii="Times New Roman" w:hAnsi="Times New Roman" w:cs="Times New Roman" w:eastAsia="宋体"/>
          <w:b w:val="0"/>
          <w:i w:val="0"/>
          <w:color w:val="000000"/>
          <w:sz w:val="24"/>
        </w:rPr>
        <w:t xml:space="preserve">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本课题的总体研究技术路线如图 </w:t>
      </w:r>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所示，基于PX4/SITL的水下航行器闭环仿真系统结构框图如图 </w:t>
      </w:r>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830400"/>
            <wp:docPr id="2" name="Picture 2"/>
            <wp:cNvGraphicFramePr>
              <a:graphicFrameLocks noChangeAspect="1"/>
            </wp:cNvGraphicFramePr>
            <a:graphic>
              <a:graphicData uri="http://schemas.openxmlformats.org/drawingml/2006/picture">
                <pic:pic>
                  <pic:nvPicPr>
                    <pic:cNvPr id="0" name="fig1_technical_roadmap.png"/>
                    <pic:cNvPicPr/>
                  </pic:nvPicPr>
                  <pic:blipFill>
                    <a:blip r:embed="rId11"/>
                    <a:stretch>
                      <a:fillRect/>
                    </a:stretch>
                  </pic:blipFill>
                  <pic:spPr>
                    <a:xfrm>
                      <a:off x="0" y="0"/>
                      <a:ext cx="5472000" cy="38304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09600"/>
            <wp:docPr id="3" name="Picture 3"/>
            <wp:cNvGraphicFramePr>
              <a:graphicFrameLocks noChangeAspect="1"/>
            </wp:cNvGraphicFramePr>
            <a:graphic>
              <a:graphicData uri="http://schemas.openxmlformats.org/drawingml/2006/picture">
                <pic:pic>
                  <pic:nvPicPr>
                    <pic:cNvPr id="0" name="fig2_px4_rov_architecture.png"/>
                    <pic:cNvPicPr/>
                  </pic:nvPicPr>
                  <pic:blipFill>
                    <a:blip r:embed="rId12"/>
                    <a:stretch>
                      <a:fillRect/>
                    </a:stretch>
                  </pic:blipFill>
                  <pic:spPr>
                    <a:xfrm>
                      <a:off x="0" y="0"/>
                      <a:ext cx="5472000" cy="3009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直接</w:t>
      </w:r>
      <w:r>
        <w:rPr>
          <w:rFonts w:ascii="Times New Roman" w:hAnsi="Times New Roman" w:cs="Times New Roman" w:eastAsia="宋体"/>
          <w:b w:val="0"/>
          <w:i w:val="0"/>
          <w:color w:val="000000"/>
          <w:sz w:val="24"/>
        </w:rPr>
        <w:t>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2</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Smeur E J J, Chu Q, de Croon G C H E. Adaptive incremental nonlinear dynamic inversion for attitude control of micro air vehicles[J]. Journal of Guidance, Control, and Dynamics, 2016, 39(3): 450-461. DOI: 10.2514/1.G001490.</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Johansen T A, Fossen T I. Control allocation—A survey[J]. Automatica, 2013, 49(5): 1087-1103. DOI: 10.1016/j.automatica.2013.01.035.</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万磊, 徐玉如, 庞永杰. 水下机器人推力器容错控制技术的研究[J]. 机器人, 2003, 25(6): 510-514.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程卫平, 王猛, 曾现敏, 等. 基于可行方向法的水下机器人推力分配[J]. 舰船科学技术, 2022, 44(13): 102-106.</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孙广威, 苏玉玺, 毛义, 等. 基于模糊逻辑的混合推进ROV多级推力分配策略[J]. 机器人, 2023, 45(4): 472-482.</w:t>
      </w:r>
      <w:bookmarkEnd w:id="117"/>
    </w:p>
    <w:p>
      <w:pPr>
        <w:pStyle w:val="a9"/>
        <w:jc w:val="both"/>
        <w:spacing w:line="360" w:lineRule="auto"/>
        <w:ind w:left="420" w:hanging="420"/>
      </w:pPr>
      <w:bookmarkStart w:id="118" w:name="_Ref_Paper_18"/>
      <w:r>
        <w:rPr>
          <w:rFonts w:ascii="Times New Roman" w:hAnsi="Times New Roman" w:cs="Times New Roman" w:eastAsia="宋体"/>
          <w:b w:val="0"/>
          <w:i w:val="0"/>
          <w:color w:val="000000"/>
          <w:sz w:val="24"/>
        </w:rPr>
        <w:t>[18] Meier L, Honegger D, Pollefeys M. PX4: A node-based multithreaded open source robotics framework for deeply embedded platforms[C]//2015 IEEE International Conference on Robotics and Automation (ICRA). Seattle, WA: IEEE, 2015: 6235-6240. DOI: 10.1109/ICRA.2015.7140074.</w:t>
      </w:r>
      <w:bookmarkEnd w:id="118"/>
    </w:p>
    <w:p>
      <w:pPr>
        <w:pStyle w:val="a9"/>
        <w:jc w:val="both"/>
        <w:spacing w:line="360" w:lineRule="auto"/>
        <w:ind w:left="420" w:hanging="420"/>
      </w:pPr>
      <w:bookmarkStart w:id="119" w:name="_Ref_Paper_19"/>
      <w:r>
        <w:rPr>
          <w:rFonts w:ascii="Times New Roman" w:hAnsi="Times New Roman" w:cs="Times New Roman" w:eastAsia="宋体"/>
          <w:b w:val="0"/>
          <w:i w:val="0"/>
          <w:color w:val="000000"/>
          <w:sz w:val="24"/>
        </w:rPr>
        <w:t>[19] Hackbarth A, Duecker D A, Kreuzer E. HippoCampus: A micro underwater vehicle for swarm applications[C]//2015 IEEE/RSJ International Conference on Intelligent Robots and Systems (IROS). Hamburg, Germany: IEEE, 2015: 1096-1101. DOI: 10.1109/IROS.2015.7353506.</w:t>
      </w:r>
      <w:bookmarkEnd w:id="119"/>
    </w:p>
    <w:p>
      <w:pPr>
        <w:pStyle w:val="a9"/>
        <w:jc w:val="both"/>
        <w:spacing w:line="360" w:lineRule="auto"/>
        <w:ind w:left="420" w:hanging="420"/>
      </w:pPr>
      <w:bookmarkStart w:id="120" w:name="_Ref_Paper_20"/>
      <w:r>
        <w:rPr>
          <w:rFonts w:ascii="Times New Roman" w:hAnsi="Times New Roman" w:cs="Times New Roman" w:eastAsia="宋体"/>
          <w:b w:val="0"/>
          <w:i w:val="0"/>
          <w:color w:val="000000"/>
          <w:sz w:val="24"/>
        </w:rPr>
        <w:t>[20] Duecker D A, Bauschmann N, Hansen T, et al. HippoCampus X – A hydrobatic open-source micro AUV for confined environments[C]//2020 IEEE/OES Autonomous Underwater Vehicles Symposium (AUV). St. John's, NL, Canada: IEEE, 2020: 1-6. DOI: 10.1109/AUV50043.2020.9267895.</w:t>
      </w:r>
      <w:bookmarkEnd w:id="120"/>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