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highlight w:val="yellow"/>
        </w:rPr>
        <w:t>直接依托实验室已完成构型设计的八推进器开架式（Open-frame）水下航行器（Unmanned Underwater Vehicle / Remotely Operated Vehicle，UUV/ROV）实验平台方案及相关结构数据开展研究。</w:t>
      </w:r>
      <w:r>
        <w:rPr>
          <w:rFonts w:ascii="Times New Roman" w:hAnsi="Times New Roman" w:cs="Times New Roman" w:eastAsia="宋体"/>
          <w:b w:val="0"/>
          <w:i w:val="0"/>
          <w:color w:val="000000"/>
          <w:sz w:val="24"/>
          <w:highlight w:val="yellow"/>
        </w:rPr>
        <w:t>该平台具备八推进器空间对称与矢量倾斜布置的硬件驱动能力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highlight w:val="yellow"/>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w:t>
      </w:r>
      <w:r>
        <w:rPr>
          <w:rFonts w:ascii="Times New Roman" w:hAnsi="Times New Roman" w:cs="Times New Roman" w:eastAsia="宋体"/>
          <w:b w:val="0"/>
          <w:i w:val="0"/>
          <w:color w:val="000000"/>
          <w:sz w:val="24"/>
          <w:highlight w:val="yellow"/>
        </w:rPr>
        <w:t>已有平台配备的八个推进器在空间呈水平面矢量倾斜与垂直面对称布置，构成了典型的过驱动冗余系统</w:t>
      </w:r>
      <w:r>
        <w:rPr>
          <w:rFonts w:ascii="Times New Roman" w:hAnsi="Times New Roman" w:cs="Times New Roman" w:eastAsia="宋体"/>
          <w:b w:val="0"/>
          <w:i w:val="0"/>
          <w:color w:val="000000"/>
          <w:sz w:val="24"/>
        </w:rPr>
        <w:t>，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w:t>
      </w:r>
      <w:r>
        <w:rPr>
          <w:rFonts w:ascii="Times New Roman" w:hAnsi="Times New Roman" w:cs="Times New Roman" w:eastAsia="宋体"/>
          <w:b w:val="0"/>
          <w:i w:val="0"/>
          <w:color w:val="000000"/>
          <w:sz w:val="24"/>
          <w:highlight w:val="yellow"/>
        </w:rPr>
        <w:t>依托已有八推进器水下航行器平台，建立六自由度动力学与推进器模型；结合已有平台参数资料和相关数据开展系统辨识与模型验证</w:t>
      </w:r>
      <w:r>
        <w:rPr>
          <w:rFonts w:ascii="Times New Roman" w:hAnsi="Times New Roman" w:cs="Times New Roman" w:eastAsia="宋体"/>
          <w:b w:val="0"/>
          <w:i w:val="0"/>
          <w:color w:val="000000"/>
          <w:sz w:val="24"/>
        </w:rPr>
        <w:t>，明确系统辨识的输入输出关系，对关键未知量进行辨识修正并分析模型适用范围；在此基础上，结合经验证的航行器模型特性与状态反馈构建闭环运动控制系统，实现姿态、深度和航向等基本运动状态的闭环控制；</w:t>
      </w:r>
      <w:r>
        <w:rPr>
          <w:rFonts w:ascii="Times New Roman" w:hAnsi="Times New Roman" w:cs="Times New Roman" w:eastAsia="宋体"/>
          <w:b w:val="0"/>
          <w:i w:val="0"/>
          <w:color w:val="000000"/>
          <w:sz w:val="24"/>
          <w:highlight w:val="yellow"/>
        </w:rPr>
        <w:t>依据八推进器空间布局建立控制分配矩阵</w:t>
      </w:r>
      <w:r>
        <w:rPr>
          <w:rFonts w:ascii="Times New Roman" w:hAnsi="Times New Roman" w:cs="Times New Roman" w:eastAsia="宋体"/>
          <w:b w:val="0"/>
          <w:i w:val="0"/>
          <w:color w:val="000000"/>
          <w:sz w:val="24"/>
        </w:rPr>
        <w:t>，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性能，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这表明，基于机理推导构建模型结构骨架、依托试验数据辨识修正关键未知参数，并利用代表性动态响应验证模型有效性与适用范围的研究路径，已成为兼顾模型物理可解释性与工程可用性的主流方法。</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控制难以兼顾不同运动工况下的控制性能，容易在较大幅度机动时出现超调偏大或推进器输出抖振。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rPr>
        <w:t xml:space="preserve">Slawik 等进一步将增量动态逆方法引入特种水下航行器的姿态控制中，结合标称水动力模型与传感器高频反馈在局部时间微元内补偿未建模动态与外扰，展现出良好的闭环抗扰能力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highlight w:val="yellow"/>
        </w:rPr>
        <w:t xml:space="preserve">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w:t>
      </w:r>
      <w:r>
        <w:rPr>
          <w:rFonts w:ascii="Times New Roman" w:hAnsi="Times New Roman" w:cs="Times New Roman" w:eastAsia="宋体"/>
          <w:b w:val="0"/>
          <w:i w:val="0"/>
          <w:color w:val="000000"/>
          <w:sz w:val="24"/>
          <w:highlight w:val="yellow"/>
        </w:rPr>
        <w:t>以已有八推进器水下航行器为对象，系统推进六自由度动力学与推进器建模、基于相关数据的系统辨识与模型验证、基于模型和状态反馈的运动控制设计、八推进器控制分配</w:t>
      </w:r>
      <w:r>
        <w:rPr>
          <w:rFonts w:ascii="Times New Roman" w:hAnsi="Times New Roman" w:cs="Times New Roman" w:eastAsia="宋体"/>
          <w:b w:val="0"/>
          <w:i w:val="0"/>
          <w:color w:val="000000"/>
          <w:sz w:val="24"/>
        </w:rPr>
        <w:t>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highlight w:val="yellow"/>
        </w:rPr>
        <w:t>依托已有八推进器水下航行器平台，建立能够反映航行器主要动态特性的六自由度动力学模型与推进器模型，结合平台参数资料和相关数据完成系统辨识与模型验证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val="0"/>
          <w:i w:val="0"/>
          <w:color w:val="000000"/>
          <w:sz w:val="24"/>
          <w:highlight w:val="yellow"/>
        </w:rPr>
        <w:t>依托已有八推进器水下航行器平台，梳理其机械构型与推进器三维几何布局</w:t>
      </w:r>
      <w:r>
        <w:rPr>
          <w:rFonts w:ascii="Times New Roman" w:hAnsi="Times New Roman" w:cs="Times New Roman" w:eastAsia="宋体"/>
          <w:b w:val="0"/>
          <w:i w:val="0"/>
          <w:color w:val="000000"/>
          <w:sz w:val="24"/>
        </w:rPr>
        <w:t>，建立六自由度运动学与非线性动力学模型，系统考虑刚体惯性、水动力附加质量、科氏向心力、线性和二次非线性水动力阻尼以及重浮力恢复力矩等主导物理效应；</w:t>
      </w:r>
      <w:r>
        <w:rPr>
          <w:rFonts w:ascii="Times New Roman" w:hAnsi="Times New Roman" w:cs="Times New Roman" w:eastAsia="宋体"/>
          <w:b w:val="0"/>
          <w:i w:val="0"/>
          <w:color w:val="000000"/>
          <w:sz w:val="24"/>
          <w:highlight w:val="yellow"/>
        </w:rPr>
        <w:t>结合已有平台推进器电气与流体特性，建立单推进器控制输入到推力输出的静态映射与必要动态模型</w:t>
      </w:r>
      <w:r>
        <w:rPr>
          <w:rFonts w:ascii="Times New Roman" w:hAnsi="Times New Roman" w:cs="Times New Roman" w:eastAsia="宋体"/>
          <w:b w:val="0"/>
          <w:i w:val="0"/>
          <w:color w:val="000000"/>
          <w:sz w:val="24"/>
        </w:rPr>
        <w:t>，为系统辨识、控制设计与仿真提供可靠的模型基础。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w:t>
      </w:r>
      <w:r>
        <w:rPr>
          <w:rFonts w:ascii="Times New Roman" w:hAnsi="Times New Roman" w:cs="Times New Roman" w:eastAsia="宋体"/>
          <w:b w:val="0"/>
          <w:i w:val="0"/>
          <w:color w:val="000000"/>
          <w:sz w:val="24"/>
          <w:highlight w:val="yellow"/>
        </w:rPr>
        <w:t>结合已有平台参数资料和相关测试/仿真动态响应数据开展系统参数辨识，对水动力附加质量与阻尼等关键未知量进行估计与修正</w:t>
      </w:r>
      <w:r>
        <w:rPr>
          <w:rFonts w:ascii="Times New Roman" w:hAnsi="Times New Roman" w:cs="Times New Roman" w:eastAsia="宋体"/>
          <w:b w:val="0"/>
          <w:i w:val="0"/>
          <w:color w:val="000000"/>
          <w:sz w:val="24"/>
        </w:rPr>
        <w:t>；通过代表性动态响应对比模型输出与测试数据，量化评估模型拟合误差与残差分布，明确标称模型的物理保真度与工程适用范围。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val="0"/>
          <w:i w:val="0"/>
          <w:color w:val="000000"/>
          <w:sz w:val="24"/>
        </w:rPr>
        <w:t>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性能的影响；</w:t>
      </w:r>
      <w:r>
        <w:rPr>
          <w:rFonts w:ascii="Times New Roman" w:hAnsi="Times New Roman" w:cs="Times New Roman" w:eastAsia="宋体"/>
          <w:b w:val="0"/>
          <w:i w:val="0"/>
          <w:color w:val="000000"/>
          <w:sz w:val="24"/>
          <w:highlight w:val="yellow"/>
        </w:rPr>
        <w:t xml:space="preserve">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rPr>
        <w:t>，系统考虑推进器物理输出范围约束生成各推进器推力指令，量化分析控制分配误差与推力饱和情况。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w:t>
      </w:r>
      <w:r>
        <w:rPr>
          <w:rFonts w:ascii="Times New Roman" w:hAnsi="Times New Roman" w:cs="Times New Roman" w:eastAsia="宋体"/>
          <w:b w:val="0"/>
          <w:i w:val="0"/>
          <w:color w:val="000000"/>
          <w:sz w:val="24"/>
          <w:highlight w:val="yellow"/>
        </w:rPr>
        <w:t>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根据动力学方程构造激励输入（推进器推力或广义控制力）与状态输出（线速度、角速度、姿态、深度等动态响应）之间的参数化辨识关系，</w:t>
      </w:r>
      <w:r>
        <w:rPr>
          <w:rFonts w:ascii="Times New Roman" w:hAnsi="Times New Roman" w:cs="Times New Roman" w:eastAsia="宋体"/>
          <w:b w:val="0"/>
          <w:i w:val="0"/>
          <w:color w:val="000000"/>
          <w:sz w:val="24"/>
          <w:highlight w:val="yellow"/>
        </w:rPr>
        <w:t xml:space="preserve">利用平台参数资料及相关测试/仿真响应数据对未知参数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w:t>
      </w:r>
      <w:r>
        <w:rPr>
          <w:rFonts w:ascii="Times New Roman" w:hAnsi="Times New Roman" w:cs="Times New Roman" w:eastAsia="宋体"/>
          <w:b w:val="0"/>
          <w:i w:val="0"/>
          <w:color w:val="000000"/>
          <w:sz w:val="24"/>
        </w:rPr>
        <w:t xml:space="preserve">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highlight w:val="yellow"/>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