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BBBF4C">
      <w:pPr>
        <w:ind w:firstLine="480"/>
        <w:rPr>
          <w:rFonts w:hint="eastAsia"/>
        </w:rPr>
      </w:pPr>
      <w:r>
        <w:rPr>
          <w:rFonts w:hint="eastAsia"/>
        </w:rPr>
        <w:t xml:space="preserve"> </w:t>
      </w:r>
    </w:p>
    <w:p w14:paraId="13A69A28">
      <w:pPr>
        <w:ind w:firstLine="480"/>
        <w:rPr>
          <w:rFonts w:hint="eastAsia"/>
        </w:rPr>
      </w:pPr>
    </w:p>
    <w:p w14:paraId="7974B84F">
      <w:pPr>
        <w:ind w:firstLine="480"/>
      </w:pPr>
    </w:p>
    <w:p w14:paraId="0DCFAF5B">
      <w:pPr>
        <w:ind w:firstLine="480"/>
        <w:rPr>
          <w:rFonts w:hint="eastAsia"/>
        </w:rPr>
      </w:pPr>
      <w:r>
        <w:pict>
          <v:shape id="_x0000_s2050" o:spid="_x0000_s2050" o:spt="75" type="#_x0000_t75" style="position:absolute;left:0pt;margin-left:105pt;margin-top:21pt;height:49.2pt;width:200pt;mso-wrap-distance-bottom:0pt;mso-wrap-distance-top:0pt;z-index:251659264;mso-width-relative:page;mso-height-relative:page;" filled="f" o:preferrelative="t" stroked="f" coordsize="21600,21600">
            <v:path/>
            <v:fill on="f" focussize="0,0"/>
            <v:stroke on="f" joinstyle="miter"/>
            <v:imagedata r:id="rId4" o:title="同济大学字"/>
            <o:lock v:ext="edit" aspectratio="t"/>
            <w10:wrap type="topAndBottom"/>
          </v:shape>
        </w:pict>
      </w:r>
    </w:p>
    <w:p w14:paraId="7386E4E3">
      <w:pPr>
        <w:ind w:firstLine="480"/>
        <w:rPr>
          <w:rFonts w:hint="eastAsia"/>
        </w:rPr>
      </w:pPr>
    </w:p>
    <w:p w14:paraId="1907C676">
      <w:pPr>
        <w:jc w:val="center"/>
        <w:rPr>
          <w:rFonts w:hint="eastAsia" w:ascii="黑体" w:eastAsia="黑体"/>
          <w:sz w:val="72"/>
        </w:rPr>
      </w:pPr>
      <w:r>
        <w:rPr>
          <w:rFonts w:ascii="Times New Roman" w:hAnsi="Times New Roman" w:eastAsia="黑体" w:cs="Times New Roman"/>
          <w:b w:val="0"/>
          <w:i w:val="0"/>
          <w:color w:val="000000"/>
          <w:sz w:val="72"/>
        </w:rPr>
        <w:t>毕业论文开题报告</w:t>
      </w:r>
    </w:p>
    <w:p w14:paraId="5A556938">
      <w:pPr>
        <w:ind w:firstLine="480"/>
        <w:rPr>
          <w:rFonts w:hint="eastAsia" w:ascii="黑体" w:eastAsia="黑体"/>
          <w:szCs w:val="21"/>
        </w:rPr>
      </w:pPr>
    </w:p>
    <w:p w14:paraId="19B266B5">
      <w:pPr>
        <w:ind w:firstLine="640"/>
        <w:rPr>
          <w:rFonts w:ascii="黑体" w:eastAsia="黑体"/>
          <w:sz w:val="32"/>
          <w:szCs w:val="32"/>
        </w:rPr>
      </w:pPr>
    </w:p>
    <w:p w14:paraId="6C1AEDAA">
      <w:pPr>
        <w:ind w:firstLine="640"/>
        <w:rPr>
          <w:rFonts w:hint="eastAsia"/>
          <w:sz w:val="32"/>
        </w:rPr>
      </w:pPr>
    </w:p>
    <w:p w14:paraId="601C90A3">
      <w:pPr>
        <w:ind w:firstLine="640"/>
        <w:rPr>
          <w:rFonts w:hint="eastAsia"/>
          <w:sz w:val="32"/>
        </w:rPr>
      </w:pPr>
    </w:p>
    <w:tbl>
      <w:tblPr>
        <w:tblStyle w:val="5"/>
        <w:tblW w:w="7470" w:type="dxa"/>
        <w:jc w:val="center"/>
        <w:tblLayout w:type="fixed"/>
        <w:tblCellMar>
          <w:top w:w="0" w:type="dxa"/>
          <w:left w:w="108" w:type="dxa"/>
          <w:bottom w:w="0" w:type="dxa"/>
          <w:right w:w="108" w:type="dxa"/>
        </w:tblCellMar>
      </w:tblPr>
      <w:tblGrid>
        <w:gridCol w:w="1863"/>
        <w:gridCol w:w="1642"/>
        <w:gridCol w:w="1298"/>
        <w:gridCol w:w="2667"/>
      </w:tblGrid>
      <w:tr w14:paraId="4C10941E">
        <w:tblPrEx>
          <w:tblCellMar>
            <w:top w:w="0" w:type="dxa"/>
            <w:left w:w="108" w:type="dxa"/>
            <w:bottom w:w="0" w:type="dxa"/>
            <w:right w:w="108" w:type="dxa"/>
          </w:tblCellMar>
        </w:tblPrEx>
        <w:trPr>
          <w:trHeight w:val="848" w:hRule="atLeast"/>
          <w:jc w:val="center"/>
        </w:trPr>
        <w:tc>
          <w:tcPr>
            <w:tcW w:w="1863" w:type="dxa"/>
            <w:vAlign w:val="bottom"/>
          </w:tcPr>
          <w:p w14:paraId="42E59D0C">
            <w:pPr>
              <w:snapToGrid w:val="0"/>
              <w:rPr>
                <w:rFonts w:ascii="宋体" w:hAnsi="宋体"/>
                <w:sz w:val="28"/>
                <w:szCs w:val="28"/>
              </w:rPr>
            </w:pPr>
            <w:r>
              <w:rPr>
                <w:rFonts w:ascii="宋体" w:hAnsi="宋体"/>
                <w:sz w:val="28"/>
                <w:szCs w:val="28"/>
              </w:rPr>
              <w:t>课题名称</w:t>
            </w:r>
          </w:p>
        </w:tc>
        <w:tc>
          <w:tcPr>
            <w:tcW w:w="5607" w:type="dxa"/>
            <w:gridSpan w:val="3"/>
            <w:tcBorders>
              <w:bottom w:val="single" w:color="auto" w:sz="4" w:space="0"/>
            </w:tcBorders>
            <w:vAlign w:val="bottom"/>
          </w:tcPr>
          <w:p w14:paraId="5ECDE638">
            <w:pPr>
              <w:jc w:val="center"/>
            </w:pPr>
            <w:r>
              <w:rPr>
                <w:rFonts w:ascii="Times New Roman" w:hAnsi="Times New Roman" w:eastAsia="宋体" w:cs="Times New Roman"/>
                <w:b w:val="0"/>
                <w:i w:val="0"/>
                <w:color w:val="000000"/>
                <w:sz w:val="28"/>
              </w:rPr>
              <w:t>基于PX4的水下航行器模型控制方法研究</w:t>
            </w:r>
          </w:p>
        </w:tc>
      </w:tr>
      <w:tr w14:paraId="2E96675F">
        <w:tblPrEx>
          <w:tblCellMar>
            <w:top w:w="0" w:type="dxa"/>
            <w:left w:w="108" w:type="dxa"/>
            <w:bottom w:w="0" w:type="dxa"/>
            <w:right w:w="108" w:type="dxa"/>
          </w:tblCellMar>
        </w:tblPrEx>
        <w:trPr>
          <w:trHeight w:val="848" w:hRule="atLeast"/>
          <w:jc w:val="center"/>
        </w:trPr>
        <w:tc>
          <w:tcPr>
            <w:tcW w:w="1863" w:type="dxa"/>
            <w:vAlign w:val="bottom"/>
          </w:tcPr>
          <w:p w14:paraId="330F2F2C">
            <w:pPr>
              <w:rPr>
                <w:rFonts w:ascii="宋体" w:hAnsi="宋体"/>
                <w:sz w:val="28"/>
                <w:szCs w:val="28"/>
              </w:rPr>
            </w:pPr>
            <w:r>
              <w:rPr>
                <w:rFonts w:ascii="宋体" w:hAnsi="宋体"/>
                <w:spacing w:val="-18"/>
                <w:sz w:val="28"/>
                <w:szCs w:val="28"/>
              </w:rPr>
              <w:t>副 标 题</w:t>
            </w:r>
          </w:p>
        </w:tc>
        <w:tc>
          <w:tcPr>
            <w:tcW w:w="5607" w:type="dxa"/>
            <w:gridSpan w:val="3"/>
            <w:tcBorders>
              <w:top w:val="single" w:color="auto" w:sz="4" w:space="0"/>
              <w:bottom w:val="single" w:color="auto" w:sz="4" w:space="0"/>
            </w:tcBorders>
            <w:vAlign w:val="bottom"/>
          </w:tcPr>
          <w:p w14:paraId="31AD1AEA">
            <w:pPr>
              <w:jc w:val="center"/>
            </w:pPr>
          </w:p>
        </w:tc>
      </w:tr>
      <w:tr w14:paraId="532EA6F6">
        <w:tblPrEx>
          <w:tblCellMar>
            <w:top w:w="0" w:type="dxa"/>
            <w:left w:w="108" w:type="dxa"/>
            <w:bottom w:w="0" w:type="dxa"/>
            <w:right w:w="108" w:type="dxa"/>
          </w:tblCellMar>
        </w:tblPrEx>
        <w:trPr>
          <w:trHeight w:val="848" w:hRule="atLeast"/>
          <w:jc w:val="center"/>
        </w:trPr>
        <w:tc>
          <w:tcPr>
            <w:tcW w:w="1863" w:type="dxa"/>
            <w:vAlign w:val="bottom"/>
          </w:tcPr>
          <w:p w14:paraId="5B08852C">
            <w:pPr>
              <w:rPr>
                <w:rFonts w:ascii="宋体" w:hAnsi="宋体"/>
                <w:sz w:val="28"/>
                <w:szCs w:val="28"/>
              </w:rPr>
            </w:pPr>
            <w:r>
              <w:rPr>
                <w:rFonts w:ascii="宋体" w:hAnsi="宋体"/>
                <w:sz w:val="28"/>
                <w:szCs w:val="28"/>
              </w:rPr>
              <w:t>学</w:t>
            </w:r>
            <w:r>
              <w:rPr>
                <w:rFonts w:hint="eastAsia" w:ascii="宋体" w:hAnsi="宋体"/>
                <w:sz w:val="28"/>
                <w:szCs w:val="28"/>
              </w:rPr>
              <w:t xml:space="preserve">    </w:t>
            </w:r>
            <w:r>
              <w:rPr>
                <w:rFonts w:ascii="宋体" w:hAnsi="宋体"/>
                <w:sz w:val="28"/>
                <w:szCs w:val="28"/>
              </w:rPr>
              <w:t>院</w:t>
            </w:r>
            <w:r>
              <w:rPr>
                <w:rFonts w:hint="eastAsia" w:ascii="宋体" w:hAnsi="宋体"/>
                <w:sz w:val="28"/>
                <w:szCs w:val="28"/>
              </w:rPr>
              <w:t xml:space="preserve"> </w:t>
            </w:r>
          </w:p>
        </w:tc>
        <w:tc>
          <w:tcPr>
            <w:tcW w:w="5607" w:type="dxa"/>
            <w:gridSpan w:val="3"/>
            <w:tcBorders>
              <w:top w:val="single" w:color="auto" w:sz="4" w:space="0"/>
              <w:bottom w:val="single" w:color="auto" w:sz="4" w:space="0"/>
            </w:tcBorders>
            <w:vAlign w:val="bottom"/>
          </w:tcPr>
          <w:p w14:paraId="1B461A82">
            <w:pPr>
              <w:jc w:val="center"/>
            </w:pPr>
            <w:r>
              <w:rPr>
                <w:rFonts w:ascii="Times New Roman" w:hAnsi="Times New Roman" w:eastAsia="宋体" w:cs="Times New Roman"/>
                <w:b w:val="0"/>
                <w:i w:val="0"/>
                <w:color w:val="000000"/>
                <w:sz w:val="28"/>
              </w:rPr>
              <w:t>机械工程与机器人学院</w:t>
            </w:r>
          </w:p>
        </w:tc>
      </w:tr>
      <w:tr w14:paraId="14C5218E">
        <w:tblPrEx>
          <w:tblCellMar>
            <w:top w:w="0" w:type="dxa"/>
            <w:left w:w="108" w:type="dxa"/>
            <w:bottom w:w="0" w:type="dxa"/>
            <w:right w:w="108" w:type="dxa"/>
          </w:tblCellMar>
        </w:tblPrEx>
        <w:trPr>
          <w:trHeight w:val="848" w:hRule="atLeast"/>
          <w:jc w:val="center"/>
        </w:trPr>
        <w:tc>
          <w:tcPr>
            <w:tcW w:w="1863" w:type="dxa"/>
            <w:vAlign w:val="bottom"/>
          </w:tcPr>
          <w:p w14:paraId="3FC80CB3">
            <w:pPr>
              <w:rPr>
                <w:rFonts w:ascii="宋体" w:hAnsi="宋体"/>
                <w:sz w:val="28"/>
                <w:szCs w:val="28"/>
              </w:rPr>
            </w:pPr>
            <w:r>
              <w:rPr>
                <w:rFonts w:ascii="宋体" w:hAnsi="宋体"/>
                <w:sz w:val="28"/>
                <w:szCs w:val="28"/>
              </w:rPr>
              <w:t>专    业</w:t>
            </w:r>
          </w:p>
        </w:tc>
        <w:tc>
          <w:tcPr>
            <w:tcW w:w="5607" w:type="dxa"/>
            <w:gridSpan w:val="3"/>
            <w:tcBorders>
              <w:top w:val="single" w:color="auto" w:sz="4" w:space="0"/>
              <w:bottom w:val="single" w:color="auto" w:sz="4" w:space="0"/>
            </w:tcBorders>
            <w:vAlign w:val="bottom"/>
          </w:tcPr>
          <w:p w14:paraId="1F3ACCEA">
            <w:pPr>
              <w:jc w:val="center"/>
            </w:pPr>
            <w:r>
              <w:rPr>
                <w:rFonts w:ascii="Times New Roman" w:hAnsi="Times New Roman" w:eastAsia="宋体" w:cs="Times New Roman"/>
                <w:b w:val="0"/>
                <w:i w:val="0"/>
                <w:color w:val="000000"/>
                <w:sz w:val="28"/>
              </w:rPr>
              <w:t>机械设计制造及其自动化</w:t>
            </w:r>
          </w:p>
        </w:tc>
      </w:tr>
      <w:tr w14:paraId="3F37394E">
        <w:tblPrEx>
          <w:tblCellMar>
            <w:top w:w="0" w:type="dxa"/>
            <w:left w:w="108" w:type="dxa"/>
            <w:bottom w:w="0" w:type="dxa"/>
            <w:right w:w="108" w:type="dxa"/>
          </w:tblCellMar>
        </w:tblPrEx>
        <w:trPr>
          <w:trHeight w:val="848" w:hRule="atLeast"/>
          <w:jc w:val="center"/>
        </w:trPr>
        <w:tc>
          <w:tcPr>
            <w:tcW w:w="1863" w:type="dxa"/>
            <w:vAlign w:val="bottom"/>
          </w:tcPr>
          <w:p w14:paraId="69A511FC">
            <w:pPr>
              <w:rPr>
                <w:rFonts w:ascii="宋体" w:hAnsi="宋体"/>
                <w:sz w:val="28"/>
                <w:szCs w:val="28"/>
              </w:rPr>
            </w:pPr>
            <w:r>
              <w:rPr>
                <w:rFonts w:ascii="宋体" w:hAnsi="宋体"/>
                <w:sz w:val="28"/>
                <w:szCs w:val="28"/>
              </w:rPr>
              <w:t>学生姓名</w:t>
            </w:r>
          </w:p>
        </w:tc>
        <w:tc>
          <w:tcPr>
            <w:tcW w:w="1642" w:type="dxa"/>
            <w:tcBorders>
              <w:bottom w:val="single" w:color="auto" w:sz="4" w:space="0"/>
            </w:tcBorders>
            <w:vAlign w:val="bottom"/>
          </w:tcPr>
          <w:p w14:paraId="198C1CE8">
            <w:pPr>
              <w:jc w:val="center"/>
            </w:pPr>
            <w:r>
              <w:rPr>
                <w:rFonts w:ascii="Times New Roman" w:hAnsi="Times New Roman" w:eastAsia="宋体" w:cs="Times New Roman"/>
                <w:b w:val="0"/>
                <w:i w:val="0"/>
                <w:color w:val="000000"/>
                <w:sz w:val="28"/>
              </w:rPr>
              <w:t>张卫恒</w:t>
            </w:r>
          </w:p>
        </w:tc>
        <w:tc>
          <w:tcPr>
            <w:tcW w:w="1298" w:type="dxa"/>
            <w:vAlign w:val="bottom"/>
          </w:tcPr>
          <w:p w14:paraId="029A3F9C">
            <w:pPr>
              <w:rPr>
                <w:rFonts w:ascii="宋体" w:hAnsi="宋体"/>
                <w:sz w:val="28"/>
                <w:szCs w:val="28"/>
              </w:rPr>
            </w:pPr>
            <w:r>
              <w:rPr>
                <w:rFonts w:ascii="宋体" w:hAnsi="宋体"/>
                <w:sz w:val="28"/>
                <w:szCs w:val="28"/>
              </w:rPr>
              <w:t>学 号</w:t>
            </w:r>
          </w:p>
        </w:tc>
        <w:tc>
          <w:tcPr>
            <w:tcW w:w="2667" w:type="dxa"/>
            <w:tcBorders>
              <w:bottom w:val="single" w:color="auto" w:sz="4" w:space="0"/>
            </w:tcBorders>
            <w:vAlign w:val="bottom"/>
          </w:tcPr>
          <w:p w14:paraId="1A70A160">
            <w:pPr>
              <w:jc w:val="center"/>
            </w:pPr>
            <w:r>
              <w:rPr>
                <w:rFonts w:ascii="Times New Roman" w:hAnsi="Times New Roman" w:eastAsia="宋体" w:cs="Times New Roman"/>
                <w:b w:val="0"/>
                <w:i w:val="0"/>
                <w:color w:val="000000"/>
                <w:sz w:val="28"/>
              </w:rPr>
              <w:t>2352407</w:t>
            </w:r>
          </w:p>
        </w:tc>
      </w:tr>
      <w:tr w14:paraId="055FFB75">
        <w:tblPrEx>
          <w:tblCellMar>
            <w:top w:w="0" w:type="dxa"/>
            <w:left w:w="108" w:type="dxa"/>
            <w:bottom w:w="0" w:type="dxa"/>
            <w:right w:w="108" w:type="dxa"/>
          </w:tblCellMar>
        </w:tblPrEx>
        <w:trPr>
          <w:trHeight w:val="848" w:hRule="atLeast"/>
          <w:jc w:val="center"/>
        </w:trPr>
        <w:tc>
          <w:tcPr>
            <w:tcW w:w="1863" w:type="dxa"/>
            <w:vAlign w:val="bottom"/>
          </w:tcPr>
          <w:p w14:paraId="449E4A6A">
            <w:pPr>
              <w:ind w:firstLine="560"/>
              <w:rPr>
                <w:sz w:val="28"/>
                <w:szCs w:val="28"/>
              </w:rPr>
            </w:pPr>
          </w:p>
          <w:p w14:paraId="07999FA0">
            <w:pPr>
              <w:ind w:firstLine="560"/>
              <w:rPr>
                <w:sz w:val="28"/>
                <w:szCs w:val="28"/>
              </w:rPr>
            </w:pPr>
          </w:p>
          <w:p w14:paraId="2B8D6BCF">
            <w:pPr>
              <w:ind w:firstLine="560"/>
              <w:rPr>
                <w:sz w:val="28"/>
                <w:szCs w:val="28"/>
              </w:rPr>
            </w:pPr>
          </w:p>
          <w:p w14:paraId="6B6D9DE4">
            <w:pPr>
              <w:ind w:firstLine="560"/>
              <w:rPr>
                <w:sz w:val="28"/>
                <w:szCs w:val="28"/>
              </w:rPr>
            </w:pPr>
          </w:p>
        </w:tc>
        <w:tc>
          <w:tcPr>
            <w:tcW w:w="1642" w:type="dxa"/>
            <w:tcBorders>
              <w:top w:val="single" w:color="auto" w:sz="4" w:space="0"/>
            </w:tcBorders>
            <w:vAlign w:val="bottom"/>
          </w:tcPr>
          <w:p w14:paraId="674F2EC9">
            <w:pPr>
              <w:ind w:firstLine="560"/>
              <w:jc w:val="center"/>
              <w:rPr>
                <w:sz w:val="28"/>
                <w:szCs w:val="28"/>
              </w:rPr>
            </w:pPr>
          </w:p>
        </w:tc>
        <w:tc>
          <w:tcPr>
            <w:tcW w:w="1298" w:type="dxa"/>
            <w:vAlign w:val="bottom"/>
          </w:tcPr>
          <w:p w14:paraId="63C2B1B4">
            <w:pPr>
              <w:ind w:firstLine="560"/>
              <w:jc w:val="center"/>
              <w:rPr>
                <w:sz w:val="28"/>
                <w:szCs w:val="28"/>
              </w:rPr>
            </w:pPr>
          </w:p>
        </w:tc>
        <w:tc>
          <w:tcPr>
            <w:tcW w:w="2667" w:type="dxa"/>
            <w:vAlign w:val="bottom"/>
          </w:tcPr>
          <w:p w14:paraId="3F283AAE">
            <w:pPr>
              <w:ind w:firstLine="560"/>
              <w:jc w:val="center"/>
              <w:rPr>
                <w:sz w:val="28"/>
                <w:szCs w:val="28"/>
              </w:rPr>
            </w:pPr>
          </w:p>
        </w:tc>
      </w:tr>
    </w:tbl>
    <w:p w14:paraId="4E3E6D9A">
      <w:pPr>
        <w:ind w:firstLine="600"/>
        <w:rPr>
          <w:rFonts w:hint="eastAsia" w:ascii="黑体" w:eastAsia="黑体"/>
          <w:sz w:val="30"/>
        </w:rPr>
      </w:pPr>
    </w:p>
    <w:p w14:paraId="4BFF8C54">
      <w:pPr>
        <w:ind w:firstLine="600"/>
        <w:rPr>
          <w:rFonts w:hint="eastAsia" w:ascii="黑体" w:eastAsia="黑体"/>
          <w:sz w:val="30"/>
        </w:rPr>
      </w:pPr>
    </w:p>
    <w:p w14:paraId="25B75520">
      <w:pPr>
        <w:ind w:firstLine="600"/>
        <w:rPr>
          <w:rFonts w:hint="eastAsia" w:ascii="黑体" w:eastAsia="黑体"/>
          <w:sz w:val="30"/>
        </w:rPr>
      </w:pPr>
    </w:p>
    <w:p w14:paraId="0549619A">
      <w:pPr>
        <w:ind w:firstLine="600"/>
        <w:rPr>
          <w:rFonts w:hint="eastAsia" w:ascii="黑体" w:eastAsia="黑体"/>
          <w:sz w:val="30"/>
        </w:rPr>
      </w:pPr>
    </w:p>
    <w:p w14:paraId="6B321487">
      <w:pPr>
        <w:ind w:firstLine="600"/>
        <w:rPr>
          <w:rFonts w:hint="eastAsia" w:ascii="黑体" w:eastAsia="黑体"/>
          <w:sz w:val="30"/>
        </w:rPr>
      </w:pPr>
    </w:p>
    <w:tbl>
      <w:tblPr>
        <w:tblStyle w:val="5"/>
        <w:tblW w:w="0" w:type="auto"/>
        <w:jc w:val="center"/>
        <w:tblLayout w:type="fixed"/>
        <w:tblCellMar>
          <w:top w:w="0" w:type="dxa"/>
          <w:left w:w="108" w:type="dxa"/>
          <w:bottom w:w="0" w:type="dxa"/>
          <w:right w:w="108" w:type="dxa"/>
        </w:tblCellMar>
      </w:tblPr>
      <w:tblGrid>
        <w:gridCol w:w="1126"/>
        <w:gridCol w:w="850"/>
        <w:gridCol w:w="727"/>
        <w:gridCol w:w="446"/>
        <w:gridCol w:w="629"/>
        <w:gridCol w:w="466"/>
      </w:tblGrid>
      <w:tr w14:paraId="612BED1A">
        <w:tblPrEx>
          <w:tblCellMar>
            <w:top w:w="0" w:type="dxa"/>
            <w:left w:w="108" w:type="dxa"/>
            <w:bottom w:w="0" w:type="dxa"/>
            <w:right w:w="108" w:type="dxa"/>
          </w:tblCellMar>
        </w:tblPrEx>
        <w:trPr>
          <w:trHeight w:val="439" w:hRule="atLeast"/>
          <w:jc w:val="center"/>
        </w:trPr>
        <w:tc>
          <w:tcPr>
            <w:tcW w:w="1126" w:type="dxa"/>
            <w:tcBorders>
              <w:bottom w:val="single" w:color="auto" w:sz="4" w:space="0"/>
            </w:tcBorders>
            <w:vAlign w:val="center"/>
          </w:tcPr>
          <w:p w14:paraId="7B4A7919">
            <w:pPr>
              <w:jc w:val="center"/>
              <w:rPr>
                <w:rFonts w:hint="eastAsia" w:ascii="宋体" w:hAnsi="宋体"/>
                <w:sz w:val="28"/>
                <w:szCs w:val="28"/>
              </w:rPr>
            </w:pPr>
          </w:p>
        </w:tc>
        <w:tc>
          <w:tcPr>
            <w:tcW w:w="850" w:type="dxa"/>
            <w:vAlign w:val="center"/>
          </w:tcPr>
          <w:p w14:paraId="7314B03C">
            <w:pPr>
              <w:jc w:val="center"/>
              <w:rPr>
                <w:rFonts w:hint="eastAsia" w:ascii="宋体" w:hAnsi="宋体"/>
                <w:sz w:val="28"/>
                <w:szCs w:val="28"/>
              </w:rPr>
            </w:pPr>
            <w:r>
              <w:rPr>
                <w:rFonts w:hint="eastAsia" w:ascii="宋体" w:hAnsi="宋体"/>
                <w:sz w:val="28"/>
                <w:szCs w:val="28"/>
              </w:rPr>
              <w:t>年</w:t>
            </w:r>
          </w:p>
        </w:tc>
        <w:tc>
          <w:tcPr>
            <w:tcW w:w="727" w:type="dxa"/>
            <w:tcBorders>
              <w:bottom w:val="single" w:color="auto" w:sz="4" w:space="0"/>
            </w:tcBorders>
            <w:vAlign w:val="center"/>
          </w:tcPr>
          <w:p w14:paraId="7BB9ED3F">
            <w:pPr>
              <w:jc w:val="center"/>
              <w:rPr>
                <w:rFonts w:hint="eastAsia" w:ascii="宋体" w:hAnsi="宋体"/>
                <w:sz w:val="28"/>
                <w:szCs w:val="28"/>
              </w:rPr>
            </w:pPr>
          </w:p>
        </w:tc>
        <w:tc>
          <w:tcPr>
            <w:tcW w:w="446" w:type="dxa"/>
            <w:vAlign w:val="center"/>
          </w:tcPr>
          <w:p w14:paraId="26CF890B">
            <w:pPr>
              <w:jc w:val="center"/>
              <w:rPr>
                <w:rFonts w:hint="eastAsia" w:ascii="宋体" w:hAnsi="宋体"/>
                <w:sz w:val="28"/>
                <w:szCs w:val="28"/>
              </w:rPr>
            </w:pPr>
            <w:r>
              <w:rPr>
                <w:rFonts w:hint="eastAsia" w:ascii="宋体" w:hAnsi="宋体"/>
                <w:sz w:val="28"/>
                <w:szCs w:val="28"/>
              </w:rPr>
              <w:t>月</w:t>
            </w:r>
          </w:p>
        </w:tc>
        <w:tc>
          <w:tcPr>
            <w:tcW w:w="629" w:type="dxa"/>
            <w:tcBorders>
              <w:bottom w:val="single" w:color="auto" w:sz="4" w:space="0"/>
            </w:tcBorders>
            <w:vAlign w:val="center"/>
          </w:tcPr>
          <w:p w14:paraId="02C927EB">
            <w:pPr>
              <w:jc w:val="center"/>
              <w:rPr>
                <w:rFonts w:hint="eastAsia" w:ascii="宋体" w:hAnsi="宋体"/>
                <w:sz w:val="28"/>
                <w:szCs w:val="28"/>
              </w:rPr>
            </w:pPr>
          </w:p>
        </w:tc>
        <w:tc>
          <w:tcPr>
            <w:tcW w:w="466" w:type="dxa"/>
            <w:vAlign w:val="center"/>
          </w:tcPr>
          <w:p w14:paraId="7A0D0955">
            <w:pPr>
              <w:jc w:val="center"/>
              <w:rPr>
                <w:rFonts w:hint="eastAsia" w:ascii="宋体" w:hAnsi="宋体"/>
                <w:sz w:val="28"/>
                <w:szCs w:val="28"/>
              </w:rPr>
            </w:pPr>
            <w:r>
              <w:rPr>
                <w:rFonts w:hint="eastAsia" w:ascii="宋体" w:hAnsi="宋体"/>
                <w:sz w:val="28"/>
                <w:szCs w:val="28"/>
              </w:rPr>
              <w:t>日</w:t>
            </w:r>
          </w:p>
        </w:tc>
      </w:tr>
    </w:tbl>
    <w:p w14:paraId="6D33EC83">
      <w:pPr>
        <w:ind w:firstLine="560"/>
        <w:rPr>
          <w:rFonts w:hint="eastAsia" w:ascii="宋体" w:hAnsi="宋体"/>
          <w:sz w:val="28"/>
          <w:szCs w:val="28"/>
        </w:rPr>
      </w:pPr>
    </w:p>
    <w:p w14:paraId="37D33FB8">
      <w:pPr>
        <w:spacing w:before="120" w:beforeLines="50" w:after="120" w:afterLines="50" w:line="360" w:lineRule="auto"/>
        <w:ind w:firstLine="560"/>
        <w:jc w:val="both"/>
      </w:pPr>
      <w:r>
        <w:rPr>
          <w:rFonts w:ascii="Times New Roman" w:hAnsi="Times New Roman" w:eastAsia="黑体" w:cs="Times New Roman"/>
          <w:b w:val="0"/>
          <w:i w:val="0"/>
          <w:color w:val="000000"/>
          <w:sz w:val="28"/>
        </w:rPr>
        <w:t>一、毕业论文课题背景</w:t>
      </w:r>
    </w:p>
    <w:p w14:paraId="6D999614">
      <w:pPr>
        <w:pStyle w:val="9"/>
        <w:spacing w:before="120" w:beforeLines="50" w:after="120" w:afterLines="50" w:line="360" w:lineRule="auto"/>
        <w:ind w:left="0" w:firstLine="0" w:firstLineChars="0"/>
        <w:jc w:val="left"/>
      </w:pPr>
      <w:r>
        <w:rPr>
          <w:rFonts w:ascii="Times New Roman" w:hAnsi="Times New Roman" w:eastAsia="黑体" w:cs="Times New Roman"/>
          <w:b w:val="0"/>
          <w:i w:val="0"/>
          <w:color w:val="000000"/>
          <w:sz w:val="24"/>
          <w:highlight w:val="yellow"/>
        </w:rPr>
        <w:t xml:space="preserve">1. </w:t>
      </w:r>
      <w:r>
        <w:rPr>
          <w:rFonts w:ascii="Times New Roman" w:hAnsi="Times New Roman" w:eastAsia="黑体" w:cs="Times New Roman"/>
          <w:b w:val="0"/>
          <w:i w:val="0"/>
          <w:color w:val="000000"/>
          <w:sz w:val="24"/>
        </w:rPr>
        <w:t>课题来源及研究的目的和意义</w:t>
      </w:r>
    </w:p>
    <w:p w14:paraId="3B4D9745">
      <w:pPr>
        <w:pStyle w:val="10"/>
        <w:spacing w:line="360" w:lineRule="auto"/>
        <w:ind w:firstLine="480" w:firstLineChars="200"/>
        <w:jc w:val="both"/>
      </w:pPr>
      <w:r>
        <w:rPr>
          <w:rFonts w:ascii="Times New Roman" w:hAnsi="Times New Roman" w:eastAsia="黑体" w:cs="Times New Roman"/>
          <w:b w:val="0"/>
          <w:i w:val="0"/>
          <w:color w:val="000000"/>
          <w:sz w:val="24"/>
          <w:highlight w:val="yellow"/>
        </w:rPr>
        <w:t xml:space="preserve">1.1 </w:t>
      </w:r>
      <w:r>
        <w:rPr>
          <w:rFonts w:ascii="Times New Roman" w:hAnsi="Times New Roman" w:eastAsia="黑体" w:cs="Times New Roman"/>
          <w:b w:val="0"/>
          <w:i w:val="0"/>
          <w:color w:val="000000"/>
          <w:sz w:val="24"/>
        </w:rPr>
        <w:t>课题来源</w:t>
      </w:r>
    </w:p>
    <w:p w14:paraId="6267BD2C">
      <w:pPr>
        <w:pStyle w:val="10"/>
        <w:spacing w:line="360" w:lineRule="auto"/>
        <w:ind w:firstLine="480" w:firstLineChars="200"/>
        <w:jc w:val="both"/>
      </w:pPr>
      <w:r>
        <w:rPr>
          <w:rFonts w:ascii="Times New Roman" w:hAnsi="Times New Roman" w:eastAsia="宋体" w:cs="Times New Roman"/>
          <w:b w:val="0"/>
          <w:i w:val="0"/>
          <w:color w:val="000000"/>
          <w:sz w:val="24"/>
          <w:highlight w:val="yellow"/>
        </w:rPr>
        <w:t xml:space="preserve">海洋是高质量发展的战略要地。党的二十大报告明确提出，要“发展海洋经济，保护海洋生态环境，加快建设海洋强国”。习近平总书记强调，“建设海洋强国是实现中华民族伟大复兴的重大战略任务”，“要向海洋要资源、要空间，发展海洋科技，核心技术要牢牢掌握在自己手中”。国家《“十四五”海洋经济发展规划》进一步明确，要“推动海洋高端装备制造实现突破，加快深远海无人潜水器（AUV/ROV）、水下智能机器人与海洋立体观测技术装备的自主化研发与工程应用”；工业和信息化部等十七部门联合印发的《“机器人+”应用行动实施方案》中，亦明确将“面向水下极端环境作业、海洋工程基础设施无损巡检与水下应急搜救的特种机器人”列为国家重点攻关与推广示范方向 </w:t>
      </w:r>
      <w:r>
        <w:fldChar w:fldCharType="begin"/>
      </w:r>
      <w:r>
        <w:instrText xml:space="preserve"> HYPERLINK \l "_Ref_Paper_1" </w:instrText>
      </w:r>
      <w:r>
        <w:fldChar w:fldCharType="separate"/>
      </w:r>
      <w:r>
        <w:rPr>
          <w:rFonts w:ascii="Times New Roman" w:hAnsi="Times New Roman" w:eastAsia="宋体" w:cs="Times New Roman"/>
          <w:color w:val="000000"/>
          <w:sz w:val="24"/>
          <w:szCs w:val="24"/>
          <w:highlight w:val="yellow"/>
          <w:vertAlign w:val="superscript"/>
        </w:rPr>
        <w:t>[1]</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highlight w:val="yellow"/>
        </w:rPr>
        <w:t>。</w:t>
      </w:r>
    </w:p>
    <w:p w14:paraId="39C3BAB5">
      <w:pPr>
        <w:pStyle w:val="10"/>
        <w:spacing w:line="360" w:lineRule="auto"/>
        <w:ind w:firstLine="480" w:firstLineChars="200"/>
        <w:jc w:val="both"/>
      </w:pPr>
      <w:r>
        <w:rPr>
          <w:rFonts w:ascii="Times New Roman" w:hAnsi="Times New Roman" w:eastAsia="宋体" w:cs="Times New Roman"/>
          <w:b w:val="0"/>
          <w:i w:val="0"/>
          <w:color w:val="000000"/>
          <w:sz w:val="24"/>
          <w:highlight w:val="yellow"/>
        </w:rPr>
        <w:t>在上述国家重大战略牵引与行业应用需求下，水下无人航行器在海底矿产与油气管网巡检、海上风电大直径基桩与跨海桥隧水下结构物无损检测、大型水利大坝安全评估，以及现代海洋牧场立体管护等领域发挥着关键支撑作用。在贴近被测复杂结构物或狭窄受限水域作业时，环境水流扰动与水下视线受阻对航行器的低速敏捷机动与自主悬停能力提出了较高要求，需要航行器能够在水流干扰环境下稳定可靠地完成空间定点悬停、</w:t>
      </w:r>
      <w:r>
        <w:rPr>
          <w:rFonts w:ascii="Times New Roman" w:hAnsi="Times New Roman" w:eastAsia="宋体" w:cs="Times New Roman"/>
          <w:b w:val="0"/>
          <w:i w:val="0"/>
          <w:color w:val="0000FF"/>
          <w:sz w:val="24"/>
          <w:highlight w:val="yellow"/>
        </w:rPr>
        <w:t>姿态定角保持（抵抗横滚与俯仰倾角偏差）、定深控制（克服重浮力微小失配与垂向流扰）以及航向锁定（定航）</w:t>
      </w:r>
      <w:r>
        <w:rPr>
          <w:rFonts w:ascii="Times New Roman" w:hAnsi="Times New Roman" w:eastAsia="宋体" w:cs="Times New Roman"/>
          <w:b w:val="0"/>
          <w:i w:val="0"/>
          <w:color w:val="000000"/>
          <w:sz w:val="24"/>
          <w:highlight w:val="yellow"/>
        </w:rPr>
        <w:t>等基本运动控制任务。</w:t>
      </w:r>
    </w:p>
    <w:p w14:paraId="28654F58">
      <w:pPr>
        <w:pStyle w:val="10"/>
        <w:spacing w:line="360" w:lineRule="auto"/>
        <w:ind w:firstLine="480" w:firstLineChars="200"/>
        <w:jc w:val="both"/>
      </w:pPr>
      <w:r>
        <w:rPr>
          <w:rFonts w:ascii="Times New Roman" w:hAnsi="Times New Roman" w:eastAsia="宋体" w:cs="Times New Roman"/>
          <w:b w:val="0"/>
          <w:i w:val="0"/>
          <w:color w:val="000000"/>
          <w:sz w:val="24"/>
          <w:highlight w:val="yellow"/>
        </w:rPr>
        <w:t>在此背景下，</w:t>
      </w:r>
      <w:r>
        <w:rPr>
          <w:rFonts w:ascii="Times New Roman" w:hAnsi="Times New Roman" w:eastAsia="宋体" w:cs="Times New Roman"/>
          <w:b w:val="0"/>
          <w:i w:val="0"/>
          <w:color w:val="000000"/>
          <w:sz w:val="24"/>
        </w:rPr>
        <w:t>本课题来源于实验室在水下无人系统与智能海洋装备方向的科研实践与工程开发需求，直接依托实验室</w:t>
      </w:r>
      <w:r>
        <w:rPr>
          <w:rFonts w:ascii="Times New Roman" w:hAnsi="Times New Roman" w:eastAsia="宋体" w:cs="Times New Roman"/>
          <w:b w:val="0"/>
          <w:i w:val="0"/>
          <w:color w:val="000000"/>
          <w:sz w:val="24"/>
          <w:highlight w:val="yellow"/>
        </w:rPr>
        <w:t>已完成构型设计的</w:t>
      </w:r>
      <w:r>
        <w:rPr>
          <w:rFonts w:ascii="Times New Roman" w:hAnsi="Times New Roman" w:eastAsia="宋体" w:cs="Times New Roman"/>
          <w:b w:val="0"/>
          <w:i w:val="0"/>
          <w:color w:val="000000"/>
          <w:sz w:val="24"/>
        </w:rPr>
        <w:t>八推进器开架式（Open-frame）水下航行器（Unmanned Underwater Vehicle / Remotely Operated Vehicle，UUV/ROV）实验平台</w:t>
      </w:r>
      <w:r>
        <w:rPr>
          <w:rFonts w:ascii="Times New Roman" w:hAnsi="Times New Roman" w:eastAsia="宋体" w:cs="Times New Roman"/>
          <w:b w:val="0"/>
          <w:i w:val="0"/>
          <w:color w:val="000000"/>
          <w:sz w:val="24"/>
          <w:highlight w:val="yellow"/>
        </w:rPr>
        <w:t>方案及相关结构数据</w:t>
      </w:r>
      <w:r>
        <w:rPr>
          <w:rFonts w:ascii="Times New Roman" w:hAnsi="Times New Roman" w:eastAsia="宋体" w:cs="Times New Roman"/>
          <w:b w:val="0"/>
          <w:i w:val="0"/>
          <w:color w:val="000000"/>
          <w:sz w:val="24"/>
        </w:rPr>
        <w:t>开展研究。</w:t>
      </w:r>
      <w:r>
        <w:rPr>
          <w:rFonts w:ascii="Times New Roman" w:hAnsi="Times New Roman" w:eastAsia="宋体" w:cs="Times New Roman"/>
          <w:b w:val="0"/>
          <w:i w:val="0"/>
          <w:color w:val="000000"/>
          <w:sz w:val="24"/>
          <w:highlight w:val="yellow"/>
        </w:rPr>
        <w:t>该平台</w:t>
      </w:r>
      <w:r>
        <w:rPr>
          <w:rFonts w:ascii="Times New Roman" w:hAnsi="Times New Roman" w:eastAsia="宋体" w:cs="Times New Roman"/>
          <w:b w:val="0"/>
          <w:i w:val="0"/>
          <w:color w:val="000000"/>
          <w:sz w:val="24"/>
        </w:rPr>
        <w:t>具备八推进器空间对称与矢量倾斜布置的硬件驱动能力，但在流体环境中实现</w:t>
      </w:r>
      <w:r>
        <w:rPr>
          <w:rFonts w:ascii="Times New Roman" w:hAnsi="Times New Roman" w:eastAsia="宋体" w:cs="Times New Roman"/>
          <w:b w:val="0"/>
          <w:i w:val="0"/>
          <w:color w:val="000000"/>
          <w:sz w:val="24"/>
          <w:highlight w:val="yellow"/>
        </w:rPr>
        <w:t>稳定可靠的闭环运动控制</w:t>
      </w:r>
      <w:r>
        <w:rPr>
          <w:rFonts w:ascii="Times New Roman" w:hAnsi="Times New Roman" w:eastAsia="宋体" w:cs="Times New Roman"/>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w:t>
      </w:r>
      <w:r>
        <w:rPr>
          <w:rFonts w:ascii="Times New Roman" w:hAnsi="Times New Roman" w:eastAsia="宋体" w:cs="Times New Roman"/>
          <w:b w:val="0"/>
          <w:i w:val="0"/>
          <w:color w:val="000000"/>
          <w:sz w:val="24"/>
          <w:highlight w:val="yellow"/>
        </w:rPr>
        <w:t>的方案与数据基础</w:t>
      </w:r>
      <w:r>
        <w:rPr>
          <w:rFonts w:ascii="Times New Roman" w:hAnsi="Times New Roman" w:eastAsia="宋体" w:cs="Times New Roman"/>
          <w:b w:val="0"/>
          <w:i w:val="0"/>
          <w:color w:val="000000"/>
          <w:sz w:val="24"/>
        </w:rPr>
        <w:t>，围绕“动力学建模、系统辨识、模型运动控制、八推进器控制分配及 PX4/SITL 闭环仿真验证”开展系统性研究，具有坚实的</w:t>
      </w:r>
      <w:r>
        <w:rPr>
          <w:rFonts w:ascii="Times New Roman" w:hAnsi="Times New Roman" w:eastAsia="宋体" w:cs="Times New Roman"/>
          <w:b w:val="0"/>
          <w:i w:val="0"/>
          <w:color w:val="000000"/>
          <w:sz w:val="24"/>
          <w:highlight w:val="yellow"/>
        </w:rPr>
        <w:t>工程实践</w:t>
      </w:r>
      <w:r>
        <w:rPr>
          <w:rFonts w:ascii="Times New Roman" w:hAnsi="Times New Roman" w:eastAsia="宋体" w:cs="Times New Roman"/>
          <w:b w:val="0"/>
          <w:i w:val="0"/>
          <w:color w:val="000000"/>
          <w:sz w:val="24"/>
        </w:rPr>
        <w:t>背景与明确的技术升级需求。</w:t>
      </w:r>
    </w:p>
    <w:p w14:paraId="550EDFE7">
      <w:pPr>
        <w:pStyle w:val="10"/>
        <w:spacing w:line="360" w:lineRule="auto"/>
        <w:ind w:firstLine="480" w:firstLineChars="200"/>
        <w:jc w:val="both"/>
      </w:pPr>
      <w:r>
        <w:rPr>
          <w:rFonts w:ascii="Times New Roman" w:hAnsi="Times New Roman" w:eastAsia="黑体" w:cs="Times New Roman"/>
          <w:b w:val="0"/>
          <w:i w:val="0"/>
          <w:color w:val="000000"/>
          <w:sz w:val="24"/>
          <w:highlight w:val="yellow"/>
        </w:rPr>
        <w:t xml:space="preserve">1.2 </w:t>
      </w:r>
      <w:r>
        <w:rPr>
          <w:rFonts w:ascii="Times New Roman" w:hAnsi="Times New Roman" w:eastAsia="黑体" w:cs="Times New Roman"/>
          <w:b w:val="0"/>
          <w:i w:val="0"/>
          <w:color w:val="000000"/>
          <w:sz w:val="24"/>
        </w:rPr>
        <w:t>研究目的</w:t>
      </w:r>
    </w:p>
    <w:p w14:paraId="01913044">
      <w:pPr>
        <w:pStyle w:val="10"/>
        <w:spacing w:line="360" w:lineRule="auto"/>
        <w:ind w:firstLine="480" w:firstLineChars="200"/>
        <w:jc w:val="both"/>
      </w:pPr>
      <w:r>
        <w:rPr>
          <w:rFonts w:ascii="Times New Roman" w:hAnsi="Times New Roman" w:eastAsia="宋体" w:cs="Times New Roman"/>
          <w:b w:val="0"/>
          <w:i w:val="0"/>
          <w:color w:val="000000"/>
          <w:sz w:val="24"/>
        </w:rPr>
        <w:t>水下航行器在黏性流体介质中运动时，在物理机理上呈现出显著的六自由度（6-DOF）非线性耦合特性。一方面，在流体动力学层面，航行器的运动不仅取决于刚体自身质量惯性矩阵，还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则共同构成了包含线性与二次非线性项的水动力阻尼特性；此外，航行器重心（CG）与浮心（CB）的空间相对位置形成了各向异性的静恢复力与力矩。在上述多源流体物理效应的综合作用下，航行器各运动轴之间存在明显的动力学交叉耦合。</w:t>
      </w:r>
    </w:p>
    <w:p w14:paraId="4DD9FA3C">
      <w:pPr>
        <w:pStyle w:val="10"/>
        <w:spacing w:line="360" w:lineRule="auto"/>
        <w:ind w:firstLine="480" w:firstLineChars="200"/>
        <w:jc w:val="both"/>
      </w:pPr>
      <w:r>
        <w:rPr>
          <w:rFonts w:ascii="Times New Roman" w:hAnsi="Times New Roman" w:eastAsia="宋体" w:cs="Times New Roman"/>
          <w:b w:val="0"/>
          <w:i w:val="0"/>
          <w:color w:val="000000"/>
          <w:sz w:val="24"/>
        </w:rPr>
        <w:t>另一方面，在工程实现层面，由于开架式航行器结构件复杂、附体较多，常规的解析经验公式难以准确计算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水平面矢量倾斜与垂直面对称布置，构成了典型的过驱动冗余系统，运动控制器输出的六自由度期望广义力和力矩必须经过控制分配映射转化为各推进器的控制指令，且推进器在物理上受限于推力输出范围、正反转效率差异及推力死区等约束，容易在大幅机动时引发局部推进器饱和与力矩分配失真。</w:t>
      </w:r>
    </w:p>
    <w:p w14:paraId="5930B8DE">
      <w:pPr>
        <w:pStyle w:val="10"/>
        <w:spacing w:line="360" w:lineRule="auto"/>
        <w:ind w:firstLine="480" w:firstLineChars="200"/>
        <w:jc w:val="both"/>
      </w:pPr>
      <w:r>
        <w:rPr>
          <w:rFonts w:ascii="Times New Roman" w:hAnsi="Times New Roman" w:eastAsia="宋体" w:cs="Times New Roman"/>
          <w:b w:val="0"/>
          <w:i w:val="0"/>
          <w:color w:val="000000"/>
          <w:sz w:val="24"/>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w:t>
      </w:r>
      <w:r>
        <w:rPr>
          <w:rFonts w:ascii="Times New Roman" w:hAnsi="Times New Roman" w:eastAsia="宋体" w:cs="Times New Roman"/>
          <w:b w:val="0"/>
          <w:i w:val="0"/>
          <w:color w:val="0000FF"/>
          <w:sz w:val="24"/>
        </w:rPr>
        <w:t>“已有平台—建模与系统辨识—模型验证—运动控制—控制分配—PX4/SITL闭环验证”</w:t>
      </w:r>
      <w:r>
        <w:rPr>
          <w:rFonts w:ascii="Times New Roman" w:hAnsi="Times New Roman" w:eastAsia="宋体" w:cs="Times New Roman"/>
          <w:b w:val="0"/>
          <w:i w:val="0"/>
          <w:color w:val="000000"/>
          <w:sz w:val="24"/>
        </w:rPr>
        <w:t>的完整研究闭环。</w:t>
      </w:r>
    </w:p>
    <w:p w14:paraId="02B5FF8A">
      <w:pPr>
        <w:pStyle w:val="10"/>
        <w:spacing w:line="360" w:lineRule="auto"/>
        <w:ind w:firstLine="480" w:firstLineChars="200"/>
        <w:jc w:val="both"/>
      </w:pPr>
      <w:r>
        <w:rPr>
          <w:rFonts w:ascii="Times New Roman" w:hAnsi="Times New Roman" w:eastAsia="黑体" w:cs="Times New Roman"/>
          <w:b w:val="0"/>
          <w:i w:val="0"/>
          <w:color w:val="000000"/>
          <w:sz w:val="24"/>
          <w:highlight w:val="yellow"/>
        </w:rPr>
        <w:t xml:space="preserve">1.3 </w:t>
      </w:r>
      <w:r>
        <w:rPr>
          <w:rFonts w:ascii="Times New Roman" w:hAnsi="Times New Roman" w:eastAsia="黑体" w:cs="Times New Roman"/>
          <w:b w:val="0"/>
          <w:i w:val="0"/>
          <w:color w:val="000000"/>
          <w:sz w:val="24"/>
        </w:rPr>
        <w:t>研究意义</w:t>
      </w:r>
    </w:p>
    <w:p w14:paraId="16D56E8F">
      <w:pPr>
        <w:pStyle w:val="10"/>
        <w:spacing w:line="360" w:lineRule="auto"/>
        <w:ind w:firstLine="480" w:firstLineChars="200"/>
        <w:jc w:val="both"/>
      </w:pPr>
      <w:r>
        <w:rPr>
          <w:rFonts w:ascii="Times New Roman" w:hAnsi="Times New Roman" w:eastAsia="宋体" w:cs="Times New Roman"/>
          <w:b w:val="0"/>
          <w:i w:val="0"/>
          <w:color w:val="000000"/>
          <w:sz w:val="24"/>
        </w:rPr>
        <w:t>第一，在理论与方法层面，有助于深化模型支撑下的水下航行器运动控制全链路分析体系。传统的无模型经验控制难以在多轴耦合与强阻尼环境下保证理想的动态响应品质，而过于依赖单一解析机理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14:paraId="7444E519">
      <w:pPr>
        <w:pStyle w:val="10"/>
        <w:spacing w:line="360" w:lineRule="auto"/>
        <w:ind w:firstLine="480" w:firstLineChars="200"/>
        <w:jc w:val="both"/>
      </w:pPr>
      <w:r>
        <w:rPr>
          <w:rFonts w:ascii="Times New Roman" w:hAnsi="Times New Roman" w:eastAsia="宋体" w:cs="Times New Roman"/>
          <w:b w:val="0"/>
          <w:i w:val="0"/>
          <w:color w:val="000000"/>
          <w:sz w:val="24"/>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规范了状态估计、期望力矩输出及各推进器指令的标准数据接口。这为后续将算法部署至机载嵌入式硬件并开展实物测试提供了可靠的软件工程基础。</w:t>
      </w:r>
    </w:p>
    <w:p w14:paraId="150D1581">
      <w:pPr>
        <w:pStyle w:val="9"/>
        <w:spacing w:before="120" w:beforeLines="50" w:after="120" w:afterLines="50" w:line="360" w:lineRule="auto"/>
        <w:ind w:left="0" w:firstLine="0" w:firstLineChars="0"/>
        <w:jc w:val="left"/>
      </w:pPr>
      <w:r>
        <w:rPr>
          <w:rFonts w:ascii="Times New Roman" w:hAnsi="Times New Roman" w:eastAsia="黑体" w:cs="Times New Roman"/>
          <w:b w:val="0"/>
          <w:i w:val="0"/>
          <w:color w:val="000000"/>
          <w:sz w:val="24"/>
          <w:highlight w:val="yellow"/>
        </w:rPr>
        <w:t xml:space="preserve">2. </w:t>
      </w:r>
      <w:r>
        <w:rPr>
          <w:rFonts w:ascii="Times New Roman" w:hAnsi="Times New Roman" w:eastAsia="黑体" w:cs="Times New Roman"/>
          <w:b w:val="0"/>
          <w:i w:val="0"/>
          <w:color w:val="000000"/>
          <w:sz w:val="24"/>
        </w:rPr>
        <w:t>国内外在该方向的研究现状和发展趋势</w:t>
      </w:r>
    </w:p>
    <w:p w14:paraId="5E84C74D">
      <w:pPr>
        <w:pStyle w:val="10"/>
        <w:spacing w:line="360" w:lineRule="auto"/>
        <w:ind w:firstLine="480" w:firstLineChars="200"/>
        <w:jc w:val="both"/>
      </w:pPr>
      <w:r>
        <w:rPr>
          <w:rFonts w:ascii="Times New Roman" w:hAnsi="Times New Roman" w:eastAsia="宋体" w:cs="Times New Roman"/>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w:t>
      </w:r>
      <w:r>
        <w:rPr>
          <w:rFonts w:ascii="Times New Roman" w:hAnsi="Times New Roman" w:eastAsia="宋体" w:cs="Times New Roman"/>
          <w:b w:val="0"/>
          <w:i w:val="0"/>
          <w:color w:val="0000FF"/>
          <w:sz w:val="24"/>
        </w:rPr>
        <w:t>开展了</w:t>
      </w:r>
      <w:r>
        <w:rPr>
          <w:rFonts w:ascii="Times New Roman" w:hAnsi="Times New Roman" w:eastAsia="宋体" w:cs="Times New Roman"/>
          <w:b w:val="0"/>
          <w:i w:val="0"/>
          <w:color w:val="000000"/>
          <w:sz w:val="24"/>
        </w:rPr>
        <w:t>系统的研究。</w:t>
      </w:r>
    </w:p>
    <w:p w14:paraId="19B21693">
      <w:pPr>
        <w:pStyle w:val="10"/>
        <w:spacing w:line="360" w:lineRule="auto"/>
        <w:ind w:firstLine="480" w:firstLineChars="200"/>
        <w:jc w:val="both"/>
      </w:pPr>
      <w:r>
        <w:rPr>
          <w:rFonts w:ascii="Times New Roman" w:hAnsi="Times New Roman" w:eastAsia="黑体" w:cs="Times New Roman"/>
          <w:b w:val="0"/>
          <w:i w:val="0"/>
          <w:color w:val="000000"/>
          <w:sz w:val="24"/>
          <w:highlight w:val="yellow"/>
        </w:rPr>
        <w:t xml:space="preserve">2.1 </w:t>
      </w:r>
      <w:r>
        <w:rPr>
          <w:rFonts w:ascii="Times New Roman" w:hAnsi="Times New Roman" w:eastAsia="黑体" w:cs="Times New Roman"/>
          <w:b w:val="0"/>
          <w:i w:val="0"/>
          <w:color w:val="000000"/>
          <w:sz w:val="24"/>
        </w:rPr>
        <w:t>水下航行器动力学建模与系统辨识研究现状</w:t>
      </w:r>
    </w:p>
    <w:p w14:paraId="485980F2">
      <w:pPr>
        <w:pStyle w:val="10"/>
        <w:spacing w:line="360" w:lineRule="auto"/>
        <w:ind w:firstLine="480" w:firstLineChars="200"/>
        <w:jc w:val="both"/>
      </w:pPr>
      <w:r>
        <w:rPr>
          <w:rFonts w:ascii="Times New Roman" w:hAnsi="Times New Roman" w:eastAsia="宋体" w:cs="Times New Roman"/>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r>
        <w:fldChar w:fldCharType="begin"/>
      </w:r>
      <w:r>
        <w:instrText xml:space="preserve"> HYPERLINK \l "_Ref_Paper_2" </w:instrText>
      </w:r>
      <w:r>
        <w:fldChar w:fldCharType="separate"/>
      </w:r>
      <w:r>
        <w:rPr>
          <w:rFonts w:ascii="Times New Roman" w:hAnsi="Times New Roman" w:eastAsia="宋体" w:cs="Times New Roman"/>
          <w:color w:val="000000"/>
          <w:sz w:val="24"/>
          <w:szCs w:val="24"/>
          <w:highlight w:val="yellow"/>
          <w:vertAlign w:val="superscript"/>
        </w:rPr>
        <w:t>[2]</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采用开架式（Open-frame）机械构型的 ROV 而言，其水动力特性与流线型鱼雷状 AUV 存在明显差异。开架式航行器通常挂载外部传感器探头、推进器短舱、照明灯组及耐压水密舱，表面形态不规则且内部水流可穿透框架结构流动。Caccia 等较早对开架式可变构型无人水下航行器的动力学建模与水动力参数辨识展开了系统研究，指出了开架式航行器附加质量与阻尼矩阵中非对角耦合项的影响，验证了基于机理模型结构结合试验数据辨识主导水动力参数的可行性</w:t>
      </w:r>
      <w:r>
        <w:fldChar w:fldCharType="begin"/>
      </w:r>
      <w:r>
        <w:instrText xml:space="preserve"> HYPERLINK \l "_Ref_Paper_3" </w:instrText>
      </w:r>
      <w:r>
        <w:fldChar w:fldCharType="separate"/>
      </w:r>
      <w:r>
        <w:rPr>
          <w:rFonts w:ascii="Times New Roman" w:hAnsi="Times New Roman" w:eastAsia="宋体" w:cs="Times New Roman"/>
          <w:color w:val="000000"/>
          <w:sz w:val="24"/>
          <w:szCs w:val="24"/>
          <w:highlight w:val="yellow"/>
          <w:vertAlign w:val="superscript"/>
        </w:rPr>
        <w:t>[3]</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rPr>
        <w:t>。</w:t>
      </w:r>
    </w:p>
    <w:p w14:paraId="70A66EC5">
      <w:pPr>
        <w:pStyle w:val="10"/>
        <w:spacing w:line="360" w:lineRule="auto"/>
        <w:ind w:firstLine="480" w:firstLineChars="200"/>
        <w:jc w:val="both"/>
      </w:pPr>
      <w:r>
        <w:rPr>
          <w:rFonts w:ascii="Times New Roman" w:hAnsi="Times New Roman" w:eastAsia="宋体" w:cs="Times New Roman"/>
          <w:b w:val="0"/>
          <w:i w:val="0"/>
          <w:color w:val="000000"/>
          <w:sz w:val="24"/>
        </w:rPr>
        <w:t>由于开架式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r>
        <w:fldChar w:fldCharType="begin"/>
      </w:r>
      <w:r>
        <w:instrText xml:space="preserve"> HYPERLINK \l "_Ref_Paper_4" </w:instrText>
      </w:r>
      <w:r>
        <w:fldChar w:fldCharType="separate"/>
      </w:r>
      <w:r>
        <w:rPr>
          <w:rFonts w:ascii="Times New Roman" w:hAnsi="Times New Roman" w:eastAsia="宋体" w:cs="Times New Roman"/>
          <w:color w:val="000000"/>
          <w:sz w:val="24"/>
          <w:szCs w:val="24"/>
          <w:highlight w:val="yellow"/>
          <w:vertAlign w:val="superscript"/>
        </w:rPr>
        <w:t>[4]</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rPr>
        <w:t>；Avila 等针对开架式水下航行器开展了系统化的实验水动力模型辨识研究，结合阶跃推力激励与频域响应分析对附加质量与流体阻尼特性进行了定量标定</w:t>
      </w:r>
      <w:r>
        <w:fldChar w:fldCharType="begin"/>
      </w:r>
      <w:r>
        <w:instrText xml:space="preserve"> HYPERLINK \l "_Ref_Paper_5" </w:instrText>
      </w:r>
      <w:r>
        <w:fldChar w:fldCharType="separate"/>
      </w:r>
      <w:r>
        <w:rPr>
          <w:rFonts w:ascii="Times New Roman" w:hAnsi="Times New Roman" w:eastAsia="宋体" w:cs="Times New Roman"/>
          <w:color w:val="000000"/>
          <w:sz w:val="24"/>
          <w:szCs w:val="24"/>
          <w:highlight w:val="yellow"/>
          <w:vertAlign w:val="superscript"/>
        </w:rPr>
        <w:t>[5]</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rPr>
        <w:t>；Chin 与 Lau 针对复杂外形开架式 ROV 开展了水动力阻尼的数值建模与试验对比研究，分析了不同速度区间线性阻尼与二次非线性阻尼的主导权重</w:t>
      </w:r>
      <w:r>
        <w:fldChar w:fldCharType="begin"/>
      </w:r>
      <w:r>
        <w:instrText xml:space="preserve"> HYPERLINK \l "_Ref_Paper_6" </w:instrText>
      </w:r>
      <w:r>
        <w:fldChar w:fldCharType="separate"/>
      </w:r>
      <w:r>
        <w:rPr>
          <w:rFonts w:ascii="Times New Roman" w:hAnsi="Times New Roman" w:eastAsia="宋体" w:cs="Times New Roman"/>
          <w:color w:val="000000"/>
          <w:sz w:val="24"/>
          <w:szCs w:val="24"/>
          <w:highlight w:val="yellow"/>
          <w:vertAlign w:val="superscript"/>
        </w:rPr>
        <w:t>[6]</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r>
        <w:fldChar w:fldCharType="begin"/>
      </w:r>
      <w:r>
        <w:instrText xml:space="preserve"> HYPERLINK \l "_Ref_Paper_7" </w:instrText>
      </w:r>
      <w:r>
        <w:fldChar w:fldCharType="separate"/>
      </w:r>
      <w:r>
        <w:rPr>
          <w:rFonts w:ascii="Times New Roman" w:hAnsi="Times New Roman" w:eastAsia="宋体" w:cs="Times New Roman"/>
          <w:color w:val="000000"/>
          <w:sz w:val="24"/>
          <w:szCs w:val="24"/>
          <w:highlight w:val="yellow"/>
          <w:vertAlign w:val="superscript"/>
        </w:rPr>
        <w:t>[7]</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rPr>
        <w:t>。</w:t>
      </w:r>
      <w:r>
        <w:rPr>
          <w:rFonts w:ascii="Times New Roman" w:hAnsi="Times New Roman" w:eastAsia="宋体" w:cs="Times New Roman"/>
          <w:b w:val="0"/>
          <w:i w:val="0"/>
          <w:color w:val="000000"/>
          <w:sz w:val="24"/>
          <w:highlight w:val="yellow"/>
        </w:rPr>
        <w:t>近年来，von Benzon 等面向主流八推进器 BlueROV2 平台建立了开源物理仿真与动力学基准，提供了标准化的辨识对比基础</w:t>
      </w:r>
      <w:r>
        <w:fldChar w:fldCharType="begin"/>
      </w:r>
      <w:r>
        <w:instrText xml:space="preserve"> HYPERLINK \l "_Ref_Paper_8" </w:instrText>
      </w:r>
      <w:r>
        <w:fldChar w:fldCharType="separate"/>
      </w:r>
      <w:r>
        <w:rPr>
          <w:rFonts w:ascii="Times New Roman" w:hAnsi="Times New Roman" w:eastAsia="宋体" w:cs="Times New Roman"/>
          <w:color w:val="000000"/>
          <w:sz w:val="24"/>
          <w:szCs w:val="24"/>
          <w:highlight w:val="yellow"/>
          <w:vertAlign w:val="superscript"/>
        </w:rPr>
        <w:t>[8]</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highlight w:val="yellow"/>
        </w:rPr>
        <w:t>。</w:t>
      </w:r>
      <w:r>
        <w:rPr>
          <w:rFonts w:ascii="Times New Roman" w:hAnsi="Times New Roman" w:eastAsia="宋体" w:cs="Times New Roman"/>
          <w:b w:val="0"/>
          <w:i w:val="0"/>
          <w:color w:val="000000"/>
          <w:sz w:val="24"/>
        </w:rPr>
        <w:t>这表明</w:t>
      </w:r>
      <w:r>
        <w:rPr>
          <w:rFonts w:ascii="Times New Roman" w:hAnsi="Times New Roman" w:eastAsia="宋体" w:cs="Times New Roman"/>
          <w:b w:val="0"/>
          <w:i w:val="0"/>
          <w:color w:val="0000FF"/>
          <w:sz w:val="24"/>
        </w:rPr>
        <w:t>“基于机理构建总体方程骨架 + 依托平台资料与相关数据辨识修正关键未知量 + 利用代表性动态响应进行适用范围验证”</w:t>
      </w:r>
      <w:r>
        <w:rPr>
          <w:rFonts w:ascii="Times New Roman" w:hAnsi="Times New Roman" w:eastAsia="宋体" w:cs="Times New Roman"/>
          <w:b w:val="0"/>
          <w:i w:val="0"/>
          <w:color w:val="000000"/>
          <w:sz w:val="24"/>
        </w:rPr>
        <w:t>的方法，已成为兼顾模型物理可解释性与工程可用性的主流路径。</w:t>
      </w:r>
    </w:p>
    <w:p w14:paraId="68B140EE">
      <w:pPr>
        <w:pStyle w:val="10"/>
        <w:spacing w:line="360" w:lineRule="auto"/>
        <w:ind w:firstLine="480" w:firstLineChars="200"/>
        <w:jc w:val="both"/>
      </w:pPr>
      <w:r>
        <w:rPr>
          <w:rFonts w:ascii="Times New Roman" w:hAnsi="Times New Roman" w:eastAsia="黑体" w:cs="Times New Roman"/>
          <w:b w:val="0"/>
          <w:i w:val="0"/>
          <w:color w:val="000000"/>
          <w:sz w:val="24"/>
          <w:highlight w:val="yellow"/>
        </w:rPr>
        <w:t xml:space="preserve">2.2 </w:t>
      </w:r>
      <w:r>
        <w:rPr>
          <w:rFonts w:ascii="Times New Roman" w:hAnsi="Times New Roman" w:eastAsia="黑体" w:cs="Times New Roman"/>
          <w:b w:val="0"/>
          <w:i w:val="0"/>
          <w:color w:val="000000"/>
          <w:sz w:val="24"/>
        </w:rPr>
        <w:t>水下航行器运动控制方法研究现状</w:t>
      </w:r>
    </w:p>
    <w:p w14:paraId="0DE1B32B">
      <w:pPr>
        <w:pStyle w:val="10"/>
        <w:spacing w:line="360" w:lineRule="auto"/>
        <w:ind w:firstLine="480" w:firstLineChars="200"/>
        <w:jc w:val="both"/>
      </w:pPr>
      <w:r>
        <w:rPr>
          <w:rFonts w:ascii="Times New Roman" w:hAnsi="Times New Roman" w:eastAsia="宋体" w:cs="Times New Roman"/>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w:t>
      </w:r>
      <w:r>
        <w:rPr>
          <w:rFonts w:ascii="Times New Roman" w:hAnsi="Times New Roman" w:eastAsia="宋体" w:cs="Times New Roman"/>
          <w:b w:val="0"/>
          <w:i w:val="0"/>
          <w:color w:val="0000FF"/>
          <w:sz w:val="24"/>
        </w:rPr>
        <w:t>品质</w:t>
      </w:r>
      <w:r>
        <w:rPr>
          <w:rFonts w:ascii="Times New Roman" w:hAnsi="Times New Roman" w:eastAsia="宋体" w:cs="Times New Roman"/>
          <w:b w:val="0"/>
          <w:i w:val="0"/>
          <w:color w:val="000000"/>
          <w:sz w:val="24"/>
        </w:rPr>
        <w:t>。</w:t>
      </w:r>
      <w:r>
        <w:rPr>
          <w:rFonts w:ascii="Times New Roman" w:hAnsi="Times New Roman" w:eastAsia="宋体" w:cs="Times New Roman"/>
          <w:b w:val="0"/>
          <w:i w:val="0"/>
          <w:color w:val="000000"/>
          <w:sz w:val="24"/>
          <w:highlight w:val="yellow"/>
        </w:rPr>
        <w:t xml:space="preserve">典型水下航行器六自由度模型控制与推力分配通用闭环结构如图 1 所示（基于 Fossen 经典海洋航行器控制理论架构 </w:t>
      </w:r>
      <w:r>
        <w:fldChar w:fldCharType="begin"/>
      </w:r>
      <w:r>
        <w:instrText xml:space="preserve"> HYPERLINK \l "_Ref_Paper_2" </w:instrText>
      </w:r>
      <w:r>
        <w:fldChar w:fldCharType="separate"/>
      </w:r>
      <w:r>
        <w:rPr>
          <w:rFonts w:ascii="Times New Roman" w:hAnsi="Times New Roman" w:eastAsia="宋体" w:cs="Times New Roman"/>
          <w:color w:val="000000"/>
          <w:sz w:val="24"/>
          <w:szCs w:val="24"/>
          <w:highlight w:val="yellow"/>
          <w:vertAlign w:val="superscript"/>
        </w:rPr>
        <w:t>[2]</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highlight w:val="yellow"/>
        </w:rPr>
        <w:t>）：</w:t>
      </w:r>
    </w:p>
    <w:p w14:paraId="382BD321">
      <w:pPr>
        <w:spacing w:before="120" w:beforeLines="50" w:line="240" w:lineRule="auto"/>
        <w:ind w:left="0" w:firstLine="0" w:firstLineChars="0"/>
        <w:jc w:val="center"/>
      </w:pPr>
      <w:r>
        <w:drawing>
          <wp:inline distT="0" distB="0" distL="114300" distR="114300">
            <wp:extent cx="5471795" cy="1647190"/>
            <wp:effectExtent l="0" t="0" r="190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472000" cy="1647484"/>
                    </a:xfrm>
                    <a:prstGeom prst="rect">
                      <a:avLst/>
                    </a:prstGeom>
                  </pic:spPr>
                </pic:pic>
              </a:graphicData>
            </a:graphic>
          </wp:inline>
        </w:drawing>
      </w:r>
    </w:p>
    <w:p w14:paraId="575B0A89">
      <w:pPr>
        <w:spacing w:after="120" w:afterLines="50" w:line="360" w:lineRule="auto"/>
        <w:ind w:left="0" w:firstLine="0" w:firstLineChars="0"/>
        <w:jc w:val="center"/>
      </w:pPr>
      <w:r>
        <w:rPr>
          <w:rFonts w:ascii="Times New Roman" w:hAnsi="Times New Roman" w:eastAsia="宋体" w:cs="Times New Roman"/>
          <w:b/>
          <w:i w:val="0"/>
          <w:color w:val="000000"/>
          <w:sz w:val="21"/>
          <w:highlight w:val="yellow"/>
        </w:rPr>
        <w:t>图 1  典型水下航行器六自由度模型控制与推力分配通用闭环结构框图</w:t>
      </w:r>
    </w:p>
    <w:p w14:paraId="5CD0E372">
      <w:pPr>
        <w:pStyle w:val="10"/>
        <w:spacing w:line="360" w:lineRule="auto"/>
        <w:ind w:firstLine="480" w:firstLineChars="200"/>
        <w:jc w:val="both"/>
      </w:pPr>
      <w:r>
        <w:rPr>
          <w:rFonts w:ascii="Times New Roman" w:hAnsi="Times New Roman" w:eastAsia="宋体" w:cs="Times New Roman"/>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r>
        <w:fldChar w:fldCharType="begin"/>
      </w:r>
      <w:r>
        <w:instrText xml:space="preserve"> HYPERLINK \l "_Ref_Paper_2" </w:instrText>
      </w:r>
      <w:r>
        <w:fldChar w:fldCharType="separate"/>
      </w:r>
      <w:r>
        <w:rPr>
          <w:rFonts w:ascii="Times New Roman" w:hAnsi="Times New Roman" w:eastAsia="宋体" w:cs="Times New Roman"/>
          <w:color w:val="000000"/>
          <w:sz w:val="24"/>
          <w:szCs w:val="24"/>
          <w:highlight w:val="yellow"/>
          <w:vertAlign w:val="superscript"/>
        </w:rPr>
        <w:t>[2]</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highlight w:val="yellow"/>
        </w:rPr>
        <w:t xml:space="preserve">。在现代开架式水下航行器开源物理仿真基准中，文献 </w:t>
      </w:r>
      <w:r>
        <w:fldChar w:fldCharType="begin"/>
      </w:r>
      <w:r>
        <w:instrText xml:space="preserve"> HYPERLINK \l "_Ref_Paper_8" </w:instrText>
      </w:r>
      <w:r>
        <w:fldChar w:fldCharType="separate"/>
      </w:r>
      <w:r>
        <w:rPr>
          <w:rFonts w:ascii="Times New Roman" w:hAnsi="Times New Roman" w:eastAsia="宋体" w:cs="Times New Roman"/>
          <w:color w:val="000000"/>
          <w:sz w:val="24"/>
          <w:szCs w:val="24"/>
          <w:highlight w:val="yellow"/>
          <w:vertAlign w:val="superscript"/>
        </w:rPr>
        <w:t>[8]</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highlight w:val="yellow"/>
        </w:rPr>
        <w:t xml:space="preserve"> 亦将其作为标准对比算法。</w:t>
      </w:r>
      <w:r>
        <w:rPr>
          <w:rFonts w:ascii="Times New Roman" w:hAnsi="Times New Roman" w:eastAsia="宋体" w:cs="Times New Roman"/>
          <w:b w:val="0"/>
          <w:i w:val="0"/>
          <w:color w:val="000000"/>
          <w:sz w:val="24"/>
        </w:rPr>
        <w:t>然而，开架式八推进器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w:t>
      </w:r>
      <w:r>
        <w:rPr>
          <w:rFonts w:ascii="Times New Roman" w:hAnsi="Times New Roman" w:eastAsia="宋体" w:cs="Times New Roman"/>
          <w:b w:val="0"/>
          <w:i w:val="0"/>
          <w:color w:val="0000FF"/>
          <w:sz w:val="24"/>
        </w:rPr>
        <w:t>品质</w:t>
      </w:r>
      <w:r>
        <w:rPr>
          <w:rFonts w:ascii="Times New Roman" w:hAnsi="Times New Roman" w:eastAsia="宋体" w:cs="Times New Roman"/>
          <w:b w:val="0"/>
          <w:i w:val="0"/>
          <w:color w:val="000000"/>
          <w:sz w:val="24"/>
        </w:rPr>
        <w:t>，容易在较大幅度机动时出现超调偏大或推进器输出抖振。</w:t>
      </w:r>
    </w:p>
    <w:p w14:paraId="201F1388">
      <w:pPr>
        <w:pStyle w:val="10"/>
        <w:spacing w:line="360" w:lineRule="auto"/>
        <w:ind w:firstLine="480" w:firstLineChars="200"/>
        <w:jc w:val="both"/>
      </w:pPr>
      <w:r>
        <w:rPr>
          <w:rFonts w:ascii="Times New Roman" w:hAnsi="Times New Roman" w:eastAsia="宋体" w:cs="Times New Roman"/>
          <w:b w:val="0"/>
          <w:i w:val="0"/>
          <w:color w:val="000000"/>
          <w:sz w:val="24"/>
        </w:rPr>
        <w:t>针对上述问题，结合动力学模型已知特性与实时状态反馈的现代控制方法成为水下航行器控制领域的研究重点。</w:t>
      </w:r>
      <w:r>
        <w:rPr>
          <w:rFonts w:ascii="Times New Roman" w:hAnsi="Times New Roman" w:eastAsia="宋体" w:cs="Times New Roman"/>
          <w:b w:val="0"/>
          <w:i w:val="0"/>
          <w:color w:val="000000"/>
          <w:sz w:val="24"/>
          <w:highlight w:val="yellow"/>
        </w:rPr>
        <w:t>如图 1 所示，通用闭环控制系统主要由参考运动规划、运动控制器（包含模型前馈补偿与状态误差反馈两部分）、控制分配模块、推进器执行机构、航行器动力学模型以及状态估计模块组成。</w:t>
      </w:r>
      <w:r>
        <w:rPr>
          <w:rFonts w:ascii="Times New Roman" w:hAnsi="Times New Roman" w:eastAsia="宋体" w:cs="Times New Roman"/>
          <w:b w:val="0"/>
          <w:i w:val="0"/>
          <w:color w:val="000000"/>
          <w:sz w:val="24"/>
        </w:rPr>
        <w:t xml:space="preserve">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r>
        <w:fldChar w:fldCharType="begin"/>
      </w:r>
      <w:r>
        <w:instrText xml:space="preserve"> HYPERLINK \l "_Ref_Paper_9" </w:instrText>
      </w:r>
      <w:r>
        <w:fldChar w:fldCharType="separate"/>
      </w:r>
      <w:r>
        <w:rPr>
          <w:rFonts w:ascii="Times New Roman" w:hAnsi="Times New Roman" w:eastAsia="宋体" w:cs="Times New Roman"/>
          <w:color w:val="000000"/>
          <w:sz w:val="24"/>
          <w:szCs w:val="24"/>
          <w:vertAlign w:val="superscript"/>
        </w:rPr>
        <w:t>[9]</w:t>
      </w:r>
      <w:r>
        <w:rPr>
          <w:rFonts w:ascii="Times New Roman" w:hAnsi="Times New Roman" w:eastAsia="宋体" w:cs="Times New Roman"/>
          <w:color w:val="000000"/>
          <w:sz w:val="24"/>
          <w:szCs w:val="24"/>
          <w:vertAlign w:val="superscript"/>
        </w:rPr>
        <w:fldChar w:fldCharType="end"/>
      </w:r>
      <w:r>
        <w:rPr>
          <w:rFonts w:ascii="Times New Roman" w:hAnsi="Times New Roman" w:eastAsia="宋体" w:cs="Times New Roman"/>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r>
        <w:fldChar w:fldCharType="begin"/>
      </w:r>
      <w:r>
        <w:instrText xml:space="preserve"> HYPERLINK \l "_Ref_Paper_10" </w:instrText>
      </w:r>
      <w:r>
        <w:fldChar w:fldCharType="separate"/>
      </w:r>
      <w:r>
        <w:rPr>
          <w:rFonts w:ascii="Times New Roman" w:hAnsi="Times New Roman" w:eastAsia="宋体" w:cs="Times New Roman"/>
          <w:color w:val="000000"/>
          <w:sz w:val="24"/>
          <w:szCs w:val="24"/>
          <w:vertAlign w:val="superscript"/>
        </w:rPr>
        <w:t>[10]</w:t>
      </w:r>
      <w:r>
        <w:rPr>
          <w:rFonts w:ascii="Times New Roman" w:hAnsi="Times New Roman" w:eastAsia="宋体" w:cs="Times New Roman"/>
          <w:color w:val="000000"/>
          <w:sz w:val="24"/>
          <w:szCs w:val="24"/>
          <w:vertAlign w:val="superscript"/>
        </w:rPr>
        <w:fldChar w:fldCharType="end"/>
      </w:r>
      <w:r>
        <w:rPr>
          <w:rFonts w:ascii="Times New Roman" w:hAnsi="Times New Roman" w:eastAsia="宋体" w:cs="Times New Roman"/>
          <w:b w:val="0"/>
          <w:i w:val="0"/>
          <w:color w:val="000000"/>
          <w:sz w:val="24"/>
        </w:rPr>
        <w:t>。</w:t>
      </w:r>
    </w:p>
    <w:p w14:paraId="653AF622">
      <w:pPr>
        <w:pStyle w:val="10"/>
        <w:spacing w:line="360" w:lineRule="auto"/>
        <w:ind w:firstLine="480" w:firstLineChars="200"/>
        <w:jc w:val="both"/>
      </w:pPr>
      <w:r>
        <w:rPr>
          <w:rFonts w:ascii="Times New Roman" w:hAnsi="Times New Roman" w:eastAsia="宋体" w:cs="Times New Roman"/>
          <w:b w:val="0"/>
          <w:i w:val="0"/>
          <w:color w:val="000000"/>
          <w:sz w:val="24"/>
        </w:rPr>
        <w:t>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w:t>
      </w:r>
      <w:r>
        <w:rPr>
          <w:rFonts w:ascii="Times New Roman" w:hAnsi="Times New Roman" w:eastAsia="宋体" w:cs="Times New Roman"/>
          <w:b w:val="0"/>
          <w:i w:val="0"/>
          <w:color w:val="000000"/>
          <w:sz w:val="24"/>
          <w:highlight w:val="yellow"/>
        </w:rPr>
        <w:t>Slawik 等进一步将增量动态逆方法引入水下航行器</w:t>
      </w:r>
      <w:r>
        <w:rPr>
          <w:rFonts w:ascii="Times New Roman" w:hAnsi="Times New Roman" w:eastAsia="宋体" w:cs="Times New Roman"/>
          <w:b w:val="0"/>
          <w:i w:val="0"/>
          <w:color w:val="0000FF"/>
          <w:sz w:val="24"/>
          <w:highlight w:val="yellow"/>
        </w:rPr>
        <w:t>（Cuttlefish AUV）</w:t>
      </w:r>
      <w:r>
        <w:rPr>
          <w:rFonts w:ascii="Times New Roman" w:hAnsi="Times New Roman" w:eastAsia="宋体" w:cs="Times New Roman"/>
          <w:b w:val="0"/>
          <w:i w:val="0"/>
          <w:color w:val="000000"/>
          <w:sz w:val="24"/>
          <w:highlight w:val="yellow"/>
        </w:rPr>
        <w:t xml:space="preserve">的姿态控制中，结合标称水动力模型与传感器高频反馈在局部时间微元内补偿未建模动态与外扰，展现出良好的闭环抗扰能力 </w:t>
      </w:r>
      <w:r>
        <w:fldChar w:fldCharType="begin"/>
      </w:r>
      <w:r>
        <w:instrText xml:space="preserve"> HYPERLINK \l "_Ref_Paper_11" </w:instrText>
      </w:r>
      <w:r>
        <w:fldChar w:fldCharType="separate"/>
      </w:r>
      <w:r>
        <w:rPr>
          <w:rFonts w:ascii="Times New Roman" w:hAnsi="Times New Roman" w:eastAsia="宋体" w:cs="Times New Roman"/>
          <w:color w:val="000000"/>
          <w:sz w:val="24"/>
          <w:szCs w:val="24"/>
          <w:highlight w:val="yellow"/>
          <w:vertAlign w:val="superscript"/>
        </w:rPr>
        <w:t>[11]</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highlight w:val="yellow"/>
        </w:rPr>
        <w:t>。</w:t>
      </w:r>
    </w:p>
    <w:p w14:paraId="2F2722C2">
      <w:pPr>
        <w:pStyle w:val="10"/>
        <w:spacing w:line="360" w:lineRule="auto"/>
        <w:ind w:firstLine="480" w:firstLineChars="200"/>
        <w:jc w:val="both"/>
      </w:pPr>
      <w:r>
        <w:rPr>
          <w:rFonts w:ascii="Times New Roman" w:hAnsi="Times New Roman" w:eastAsia="宋体" w:cs="Times New Roman"/>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14:paraId="50739C6B">
      <w:pPr>
        <w:pStyle w:val="10"/>
        <w:spacing w:line="360" w:lineRule="auto"/>
        <w:ind w:firstLine="480" w:firstLineChars="200"/>
        <w:jc w:val="both"/>
      </w:pPr>
      <w:r>
        <w:rPr>
          <w:rFonts w:ascii="Times New Roman" w:hAnsi="Times New Roman" w:eastAsia="黑体" w:cs="Times New Roman"/>
          <w:b w:val="0"/>
          <w:i w:val="0"/>
          <w:color w:val="000000"/>
          <w:sz w:val="24"/>
          <w:highlight w:val="yellow"/>
        </w:rPr>
        <w:t xml:space="preserve">2.3 </w:t>
      </w:r>
      <w:r>
        <w:rPr>
          <w:rFonts w:ascii="Times New Roman" w:hAnsi="Times New Roman" w:eastAsia="黑体" w:cs="Times New Roman"/>
          <w:b w:val="0"/>
          <w:i w:val="0"/>
          <w:color w:val="000000"/>
          <w:sz w:val="24"/>
        </w:rPr>
        <w:t>多推进器控制分配研究现状</w:t>
      </w:r>
    </w:p>
    <w:p w14:paraId="4F5349B3">
      <w:pPr>
        <w:pStyle w:val="10"/>
        <w:spacing w:line="360" w:lineRule="auto"/>
        <w:ind w:firstLine="480" w:firstLineChars="200"/>
        <w:jc w:val="both"/>
      </w:pPr>
      <w:r>
        <w:rPr>
          <w:rFonts w:ascii="Times New Roman" w:hAnsi="Times New Roman" w:eastAsia="宋体" w:cs="Times New Roman"/>
          <w:b w:val="0"/>
          <w:i w:val="0"/>
          <w:color w:val="000000"/>
          <w:sz w:val="24"/>
        </w:rPr>
        <w:t xml:space="preserve">对于配备八个推进器的全驱动开架式水下航行器而言，其独立的物理执行器通道数量（8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sSubPr/>
          <m:e>
            <m:r>
              <m:rPr>
                <m:sty m:val="bi"/>
              </m:rPr>
              <w:rPr>
                <w:rFonts w:ascii="Cambria Math" w:hAnsi="Cambria Math" w:eastAsia="宋体"/>
                <w:sz w:val="24"/>
                <w:szCs w:val="24"/>
              </w:rPr>
              <m:t>τ</m:t>
            </m:r>
          </m:e>
          <m:sub>
            <m:r>
              <m:rPr/>
              <w:rPr>
                <w:rFonts w:ascii="Cambria Math" w:hAnsi="Cambria Math" w:eastAsia="宋体"/>
                <w:sz w:val="24"/>
                <w:szCs w:val="24"/>
              </w:rPr>
              <m:t>c</m:t>
            </m:r>
          </m:sub>
        </m:sSub>
        <m:r>
          <m:rPr>
            <m:sty m:val="p"/>
          </m:rPr>
          <w:rPr>
            <w:rFonts w:ascii="Cambria Math" w:hAnsi="Cambria Math" w:eastAsia="宋体"/>
            <w:sz w:val="24"/>
            <w:szCs w:val="24"/>
          </w:rPr>
          <m:t>∈</m:t>
        </m:r>
        <m:sSup>
          <m:sSupPr/>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eastAsia="宋体" w:cs="Times New Roman"/>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m:t>
        </m:r>
        <m:sSup>
          <m:sSupPr/>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eastAsia="宋体" w:cs="Times New Roman"/>
          <w:b w:val="0"/>
          <w:i w:val="0"/>
          <w:color w:val="000000"/>
          <w:sz w:val="24"/>
        </w:rPr>
        <w:t>。如何将低维的期望广义力矩合理、低失真地解算并映射为高维的各推进器控制指令，即为控制分配（Control Allocation）所要解决的关键课题。</w:t>
      </w:r>
    </w:p>
    <w:p w14:paraId="1E803B9D">
      <w:pPr>
        <w:pStyle w:val="10"/>
        <w:spacing w:line="360" w:lineRule="auto"/>
        <w:ind w:firstLine="480" w:firstLineChars="200"/>
        <w:jc w:val="both"/>
      </w:pPr>
      <w:r>
        <w:rPr>
          <w:rFonts w:ascii="Times New Roman" w:hAnsi="Times New Roman" w:eastAsia="宋体" w:cs="Times New Roman"/>
          <w:b w:val="0"/>
          <w:i w:val="0"/>
          <w:color w:val="000000"/>
          <w:sz w:val="24"/>
          <w:highlight w:val="yellow"/>
        </w:rPr>
        <w:t>Johansen 与 Fossen 在控制分配综述中系统总结了无约束广义逆、有界二次规划及再分配方法的理论体系</w:t>
      </w:r>
      <w:r>
        <w:fldChar w:fldCharType="begin"/>
      </w:r>
      <w:r>
        <w:instrText xml:space="preserve"> HYPERLINK \l "_Ref_Paper_12" </w:instrText>
      </w:r>
      <w:r>
        <w:fldChar w:fldCharType="separate"/>
      </w:r>
      <w:r>
        <w:rPr>
          <w:rFonts w:ascii="Times New Roman" w:hAnsi="Times New Roman" w:eastAsia="宋体" w:cs="Times New Roman"/>
          <w:color w:val="000000"/>
          <w:sz w:val="24"/>
          <w:szCs w:val="24"/>
          <w:highlight w:val="yellow"/>
          <w:vertAlign w:val="superscript"/>
        </w:rPr>
        <w:t>[12]</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highlight w:val="yellow"/>
        </w:rPr>
        <w:t>；Fossen 与 Johansen 针对船舶与水下航行器的推力分配问题开展了系统梳理，总结了海洋运载器过驱动控制分配的基本模型与求解框架</w:t>
      </w:r>
      <w:r>
        <w:fldChar w:fldCharType="begin"/>
      </w:r>
      <w:r>
        <w:instrText xml:space="preserve"> HYPERLINK \l "_Ref_Paper_13" </w:instrText>
      </w:r>
      <w:r>
        <w:fldChar w:fldCharType="separate"/>
      </w:r>
      <w:r>
        <w:rPr>
          <w:rFonts w:ascii="Times New Roman" w:hAnsi="Times New Roman" w:eastAsia="宋体" w:cs="Times New Roman"/>
          <w:color w:val="000000"/>
          <w:sz w:val="24"/>
          <w:szCs w:val="24"/>
          <w:highlight w:val="yellow"/>
          <w:vertAlign w:val="superscript"/>
        </w:rPr>
        <w:t>[13]</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highlight w:val="yellow"/>
        </w:rPr>
        <w:t>。</w:t>
      </w:r>
      <w:r>
        <w:rPr>
          <w:rFonts w:ascii="Times New Roman" w:hAnsi="Times New Roman" w:eastAsia="宋体" w:cs="Times New Roman"/>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14:paraId="3C19FBC6">
      <w:pPr>
        <w:pStyle w:val="10"/>
        <w:spacing w:line="360" w:lineRule="auto"/>
        <w:ind w:firstLine="480" w:firstLineChars="200"/>
        <w:jc w:val="both"/>
      </w:pPr>
      <w:r>
        <w:rPr>
          <w:rFonts w:ascii="Times New Roman" w:hAnsi="Times New Roman" w:eastAsia="宋体" w:cs="Times New Roman"/>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r>
        <w:fldChar w:fldCharType="begin"/>
      </w:r>
      <w:r>
        <w:instrText xml:space="preserve"> HYPERLINK \l "_Ref_Paper_14" </w:instrText>
      </w:r>
      <w:r>
        <w:fldChar w:fldCharType="separate"/>
      </w:r>
      <w:r>
        <w:rPr>
          <w:rFonts w:ascii="Times New Roman" w:hAnsi="Times New Roman" w:eastAsia="宋体" w:cs="Times New Roman"/>
          <w:color w:val="000000"/>
          <w:sz w:val="24"/>
          <w:szCs w:val="24"/>
          <w:highlight w:val="yellow"/>
          <w:vertAlign w:val="superscript"/>
        </w:rPr>
        <w:t>[14]</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rPr>
        <w:t>；孙广威等针对矢量推进 ROV 提出了兼顾推力约束与分配效率的多级推力分配策略，在多推进器协调与能耗控制方面取得了良好效果</w:t>
      </w:r>
      <w:r>
        <w:fldChar w:fldCharType="begin"/>
      </w:r>
      <w:r>
        <w:instrText xml:space="preserve"> HYPERLINK \l "_Ref_Paper_15" </w:instrText>
      </w:r>
      <w:r>
        <w:fldChar w:fldCharType="separate"/>
      </w:r>
      <w:r>
        <w:rPr>
          <w:rFonts w:ascii="Times New Roman" w:hAnsi="Times New Roman" w:eastAsia="宋体" w:cs="Times New Roman"/>
          <w:color w:val="000000"/>
          <w:sz w:val="24"/>
          <w:szCs w:val="24"/>
          <w:highlight w:val="yellow"/>
          <w:vertAlign w:val="superscript"/>
        </w:rPr>
        <w:t>[15]</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eastAsia="宋体" w:cs="Times New Roman"/>
          <w:b w:val="0"/>
          <w:i w:val="0"/>
          <w:color w:val="000000"/>
          <w:sz w:val="24"/>
        </w:rPr>
        <w:t xml:space="preserve"> 控制分配矩阵，并在求解流程中合理考虑推进器基本推力输出范围约束，是连接上层闭环运动控制器与底层执行机构的核心纽带。</w:t>
      </w:r>
    </w:p>
    <w:p w14:paraId="2B2B342B">
      <w:pPr>
        <w:pStyle w:val="10"/>
        <w:spacing w:line="360" w:lineRule="auto"/>
        <w:ind w:firstLine="480" w:firstLineChars="200"/>
        <w:jc w:val="both"/>
      </w:pPr>
      <w:r>
        <w:rPr>
          <w:rFonts w:ascii="Times New Roman" w:hAnsi="Times New Roman" w:eastAsia="黑体" w:cs="Times New Roman"/>
          <w:b w:val="0"/>
          <w:i w:val="0"/>
          <w:color w:val="000000"/>
          <w:sz w:val="24"/>
          <w:highlight w:val="yellow"/>
        </w:rPr>
        <w:t xml:space="preserve">2.4 </w:t>
      </w:r>
      <w:r>
        <w:rPr>
          <w:rFonts w:ascii="Times New Roman" w:hAnsi="Times New Roman" w:eastAsia="黑体" w:cs="Times New Roman"/>
          <w:b w:val="0"/>
          <w:i w:val="0"/>
          <w:color w:val="000000"/>
          <w:sz w:val="24"/>
        </w:rPr>
        <w:t>基于开源软件架构（PX4）的水下航行器闭环仿真研究现状</w:t>
      </w:r>
    </w:p>
    <w:p w14:paraId="4159D9C3">
      <w:pPr>
        <w:pStyle w:val="10"/>
        <w:spacing w:line="360" w:lineRule="auto"/>
        <w:ind w:firstLine="480" w:firstLineChars="200"/>
        <w:jc w:val="both"/>
      </w:pPr>
      <w:r>
        <w:rPr>
          <w:rFonts w:ascii="Times New Roman" w:hAnsi="Times New Roman" w:eastAsia="宋体" w:cs="Times New Roman"/>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14:paraId="19CB635F">
      <w:pPr>
        <w:pStyle w:val="10"/>
        <w:spacing w:line="360" w:lineRule="auto"/>
        <w:ind w:firstLine="480" w:firstLineChars="200"/>
        <w:jc w:val="both"/>
      </w:pPr>
      <w:r>
        <w:rPr>
          <w:rFonts w:ascii="Times New Roman" w:hAnsi="Times New Roman" w:eastAsia="宋体" w:cs="Times New Roman"/>
          <w:b w:val="0"/>
          <w:i w:val="0"/>
          <w:color w:val="000000"/>
          <w:sz w:val="24"/>
        </w:rPr>
        <w:t>苏黎世联邦理工学院（ETH Zurich）Meier 等主导研发的 PX4 Autopilot 软件框架是当前无人系统领域广泛应用的开源嵌入式控制软件框架之一</w:t>
      </w:r>
      <w:r>
        <w:fldChar w:fldCharType="begin"/>
      </w:r>
      <w:r>
        <w:instrText xml:space="preserve"> HYPERLINK \l "_Ref_Paper_16" </w:instrText>
      </w:r>
      <w:r>
        <w:fldChar w:fldCharType="separate"/>
      </w:r>
      <w:r>
        <w:rPr>
          <w:rFonts w:ascii="Times New Roman" w:hAnsi="Times New Roman" w:eastAsia="宋体" w:cs="Times New Roman"/>
          <w:color w:val="000000"/>
          <w:sz w:val="24"/>
          <w:szCs w:val="24"/>
          <w:highlight w:val="yellow"/>
          <w:vertAlign w:val="superscript"/>
        </w:rPr>
        <w:t>[16]</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14:paraId="2902EB2B">
      <w:pPr>
        <w:pStyle w:val="10"/>
        <w:spacing w:line="360" w:lineRule="auto"/>
        <w:ind w:firstLine="480" w:firstLineChars="200"/>
        <w:jc w:val="both"/>
      </w:pPr>
      <w:r>
        <w:rPr>
          <w:rFonts w:ascii="Times New Roman" w:hAnsi="Times New Roman" w:eastAsia="宋体" w:cs="Times New Roman"/>
          <w:b w:val="0"/>
          <w:i w:val="0"/>
          <w:color w:val="000000"/>
          <w:sz w:val="24"/>
        </w:rPr>
        <w:t>最初，PX4 主要针对空中多旋翼与固定翼飞行器进行设计。凭借其模块化的控制分配架构与良好的可扩展性，近年来国内外研究团队开始将 PX4 引入水下无人航行器研究领域。</w:t>
      </w:r>
      <w:r>
        <w:rPr>
          <w:rFonts w:ascii="Times New Roman" w:hAnsi="Times New Roman" w:eastAsia="宋体" w:cs="Times New Roman"/>
          <w:b w:val="0"/>
          <w:i w:val="0"/>
          <w:color w:val="000000"/>
          <w:sz w:val="24"/>
          <w:highlight w:val="yellow"/>
        </w:rPr>
        <w:t>Duecker 等推出了开源水下平台 HippoCampus X，依托基于 PX4 的软件在环仿真与水池实验完成了受限水域下的三维机动控制验证，证实了基于 PX4/SITL 构建水下航行器闭环仿真与控制验证体系的工程合理性</w:t>
      </w:r>
      <w:r>
        <w:fldChar w:fldCharType="begin"/>
      </w:r>
      <w:r>
        <w:instrText xml:space="preserve"> HYPERLINK \l "_Ref_Paper_17" </w:instrText>
      </w:r>
      <w:r>
        <w:fldChar w:fldCharType="separate"/>
      </w:r>
      <w:r>
        <w:rPr>
          <w:rFonts w:ascii="Times New Roman" w:hAnsi="Times New Roman" w:eastAsia="宋体" w:cs="Times New Roman"/>
          <w:color w:val="000000"/>
          <w:sz w:val="24"/>
          <w:szCs w:val="24"/>
          <w:highlight w:val="yellow"/>
          <w:vertAlign w:val="superscript"/>
        </w:rPr>
        <w:t>[17]</w:t>
      </w:r>
      <w:r>
        <w:rPr>
          <w:rFonts w:ascii="Times New Roman" w:hAnsi="Times New Roman" w:eastAsia="宋体" w:cs="Times New Roman"/>
          <w:color w:val="000000"/>
          <w:sz w:val="24"/>
          <w:szCs w:val="24"/>
          <w:highlight w:val="yellow"/>
          <w:vertAlign w:val="superscript"/>
        </w:rPr>
        <w:fldChar w:fldCharType="end"/>
      </w:r>
      <w:r>
        <w:rPr>
          <w:rFonts w:ascii="Times New Roman" w:hAnsi="Times New Roman" w:eastAsia="宋体" w:cs="Times New Roman"/>
          <w:b w:val="0"/>
          <w:i w:val="0"/>
          <w:color w:val="000000"/>
          <w:sz w:val="24"/>
          <w:highlight w:val="yellow"/>
        </w:rPr>
        <w:t>。</w:t>
      </w:r>
    </w:p>
    <w:p w14:paraId="5DBA8873">
      <w:pPr>
        <w:pStyle w:val="10"/>
        <w:spacing w:line="360" w:lineRule="auto"/>
        <w:ind w:firstLine="480" w:firstLineChars="200"/>
        <w:jc w:val="both"/>
      </w:pPr>
      <w:r>
        <w:rPr>
          <w:rFonts w:ascii="Times New Roman" w:hAnsi="Times New Roman" w:eastAsia="黑体" w:cs="Times New Roman"/>
          <w:b w:val="0"/>
          <w:i w:val="0"/>
          <w:color w:val="000000"/>
          <w:sz w:val="24"/>
          <w:highlight w:val="yellow"/>
        </w:rPr>
        <w:t xml:space="preserve">2.5 </w:t>
      </w:r>
      <w:r>
        <w:rPr>
          <w:rFonts w:ascii="Times New Roman" w:hAnsi="Times New Roman" w:eastAsia="黑体" w:cs="Times New Roman"/>
          <w:b w:val="0"/>
          <w:i w:val="0"/>
          <w:color w:val="000000"/>
          <w:sz w:val="24"/>
        </w:rPr>
        <w:t>发展趋势与对本课题的启示</w:t>
      </w:r>
    </w:p>
    <w:p w14:paraId="3EA03D7E">
      <w:pPr>
        <w:pStyle w:val="10"/>
        <w:spacing w:line="360" w:lineRule="auto"/>
        <w:ind w:firstLine="480" w:firstLineChars="200"/>
        <w:jc w:val="both"/>
      </w:pPr>
      <w:r>
        <w:rPr>
          <w:rFonts w:ascii="Times New Roman" w:hAnsi="Times New Roman" w:eastAsia="宋体" w:cs="Times New Roman"/>
          <w:b w:val="0"/>
          <w:i w:val="0"/>
          <w:color w:val="000000"/>
          <w:sz w:val="24"/>
        </w:rPr>
        <w:t>为清晰梳理现有水下航行器运动控制与推力分配代表性方案的技术特点，现将国内外主流方案与本课题拟采取的研究方案归纳对比如下（见表 1）：</w:t>
      </w:r>
    </w:p>
    <w:p w14:paraId="19F40087">
      <w:pPr>
        <w:spacing w:before="120" w:beforeLines="50" w:line="240" w:lineRule="auto"/>
        <w:ind w:left="0" w:firstLine="0" w:firstLineChars="0"/>
        <w:jc w:val="center"/>
      </w:pPr>
      <w:r>
        <w:rPr>
          <w:rFonts w:ascii="Times New Roman" w:hAnsi="Times New Roman" w:eastAsia="宋体" w:cs="Times New Roman"/>
          <w:b/>
          <w:i w:val="0"/>
          <w:color w:val="000000"/>
          <w:sz w:val="21"/>
        </w:rPr>
        <w:t>表 1  水下航行器典型运动控制与推力分配方案对比分析</w:t>
      </w:r>
    </w:p>
    <w:tbl>
      <w:tblPr>
        <w:tblStyle w:val="5"/>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65"/>
        <w:gridCol w:w="836"/>
        <w:gridCol w:w="1766"/>
        <w:gridCol w:w="1491"/>
        <w:gridCol w:w="1463"/>
        <w:gridCol w:w="1708"/>
      </w:tblGrid>
      <w:tr w14:paraId="6D5C84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304" w:type="dxa"/>
            <w:vAlign w:val="center"/>
          </w:tcPr>
          <w:p w14:paraId="3AD764ED">
            <w:pPr>
              <w:spacing w:before="40" w:after="40" w:line="288" w:lineRule="auto"/>
              <w:ind w:firstLine="0"/>
              <w:jc w:val="center"/>
            </w:pPr>
            <w:r>
              <w:rPr>
                <w:rFonts w:ascii="Times New Roman" w:hAnsi="Times New Roman" w:eastAsia="黑体" w:cs="Times New Roman"/>
                <w:b/>
                <w:i w:val="0"/>
                <w:color w:val="000000"/>
                <w:sz w:val="19"/>
              </w:rPr>
              <w:t>方案类别</w:t>
            </w:r>
          </w:p>
        </w:tc>
        <w:tc>
          <w:tcPr>
            <w:tcW w:w="850" w:type="dxa"/>
            <w:vAlign w:val="center"/>
          </w:tcPr>
          <w:p w14:paraId="1516B182">
            <w:pPr>
              <w:spacing w:before="40" w:after="40" w:line="288" w:lineRule="auto"/>
              <w:ind w:firstLine="0"/>
              <w:jc w:val="center"/>
            </w:pPr>
            <w:r>
              <w:rPr>
                <w:rFonts w:ascii="Times New Roman" w:hAnsi="Times New Roman" w:eastAsia="黑体" w:cs="Times New Roman"/>
                <w:b/>
                <w:i w:val="0"/>
                <w:color w:val="000000"/>
                <w:sz w:val="19"/>
              </w:rPr>
              <w:t>代表性文献</w:t>
            </w:r>
          </w:p>
        </w:tc>
        <w:tc>
          <w:tcPr>
            <w:tcW w:w="1814" w:type="dxa"/>
            <w:vAlign w:val="center"/>
          </w:tcPr>
          <w:p w14:paraId="2E20C4A0">
            <w:pPr>
              <w:spacing w:before="40" w:after="40" w:line="288" w:lineRule="auto"/>
              <w:ind w:firstLine="0"/>
              <w:jc w:val="center"/>
            </w:pPr>
            <w:r>
              <w:rPr>
                <w:rFonts w:ascii="Times New Roman" w:hAnsi="Times New Roman" w:eastAsia="黑体" w:cs="Times New Roman"/>
                <w:b/>
                <w:i w:val="0"/>
                <w:color w:val="000000"/>
                <w:sz w:val="19"/>
              </w:rPr>
              <w:t>模型信息利用方式</w:t>
            </w:r>
          </w:p>
        </w:tc>
        <w:tc>
          <w:tcPr>
            <w:tcW w:w="1531" w:type="dxa"/>
            <w:vAlign w:val="center"/>
          </w:tcPr>
          <w:p w14:paraId="2EB658BE">
            <w:pPr>
              <w:spacing w:before="40" w:after="40" w:line="288" w:lineRule="auto"/>
              <w:ind w:firstLine="0"/>
              <w:jc w:val="center"/>
            </w:pPr>
            <w:r>
              <w:rPr>
                <w:rFonts w:ascii="Times New Roman" w:hAnsi="Times New Roman" w:eastAsia="黑体" w:cs="Times New Roman"/>
                <w:b/>
                <w:i w:val="0"/>
                <w:color w:val="000000"/>
                <w:sz w:val="19"/>
              </w:rPr>
              <w:t>推力分配与约束处理</w:t>
            </w:r>
          </w:p>
        </w:tc>
        <w:tc>
          <w:tcPr>
            <w:tcW w:w="1474" w:type="dxa"/>
            <w:vAlign w:val="center"/>
          </w:tcPr>
          <w:p w14:paraId="39D9E03F">
            <w:pPr>
              <w:spacing w:before="40" w:after="40" w:line="288" w:lineRule="auto"/>
              <w:ind w:firstLine="0"/>
              <w:jc w:val="center"/>
            </w:pPr>
            <w:r>
              <w:rPr>
                <w:rFonts w:ascii="Times New Roman" w:hAnsi="Times New Roman" w:eastAsia="黑体" w:cs="Times New Roman"/>
                <w:b/>
                <w:i w:val="0"/>
                <w:color w:val="000000"/>
                <w:sz w:val="19"/>
              </w:rPr>
              <w:t>软件实现与验证环境</w:t>
            </w:r>
          </w:p>
        </w:tc>
        <w:tc>
          <w:tcPr>
            <w:tcW w:w="1757" w:type="dxa"/>
            <w:vAlign w:val="center"/>
          </w:tcPr>
          <w:p w14:paraId="7703AEAB">
            <w:pPr>
              <w:spacing w:before="40" w:after="40" w:line="288" w:lineRule="auto"/>
              <w:ind w:firstLine="0"/>
              <w:jc w:val="center"/>
            </w:pPr>
            <w:r>
              <w:rPr>
                <w:rFonts w:ascii="Times New Roman" w:hAnsi="Times New Roman" w:eastAsia="黑体" w:cs="Times New Roman"/>
                <w:b/>
                <w:i w:val="0"/>
                <w:color w:val="000000"/>
                <w:sz w:val="19"/>
              </w:rPr>
              <w:t>主要优势与局限性</w:t>
            </w:r>
          </w:p>
        </w:tc>
      </w:tr>
      <w:tr w14:paraId="4041EC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04" w:type="dxa"/>
            <w:vAlign w:val="center"/>
          </w:tcPr>
          <w:p w14:paraId="2678FDBA">
            <w:pPr>
              <w:spacing w:before="40" w:after="40" w:line="288" w:lineRule="auto"/>
              <w:ind w:firstLine="0"/>
              <w:jc w:val="center"/>
            </w:pPr>
            <w:r>
              <w:rPr>
                <w:rFonts w:ascii="Times New Roman" w:hAnsi="Times New Roman" w:eastAsia="宋体" w:cs="Times New Roman"/>
                <w:b w:val="0"/>
                <w:i w:val="0"/>
                <w:color w:val="000000"/>
                <w:sz w:val="19"/>
              </w:rPr>
              <w:t>传统无模型反馈控制</w:t>
            </w:r>
          </w:p>
        </w:tc>
        <w:tc>
          <w:tcPr>
            <w:tcW w:w="850" w:type="dxa"/>
            <w:vAlign w:val="center"/>
          </w:tcPr>
          <w:p w14:paraId="509349D2">
            <w:pPr>
              <w:spacing w:before="40" w:after="40" w:line="288" w:lineRule="auto"/>
              <w:ind w:firstLine="0"/>
              <w:jc w:val="center"/>
            </w:pPr>
            <w:r>
              <w:rPr>
                <w:rFonts w:ascii="Times New Roman" w:hAnsi="Times New Roman" w:eastAsia="宋体" w:cs="Times New Roman"/>
                <w:b w:val="0"/>
                <w:i w:val="0"/>
                <w:color w:val="000000"/>
                <w:sz w:val="19"/>
                <w:highlight w:val="yellow"/>
              </w:rPr>
              <w:t>[2], [8]</w:t>
            </w:r>
          </w:p>
        </w:tc>
        <w:tc>
          <w:tcPr>
            <w:tcW w:w="1814" w:type="dxa"/>
            <w:vAlign w:val="center"/>
          </w:tcPr>
          <w:p w14:paraId="4F9F2126">
            <w:pPr>
              <w:spacing w:before="40" w:after="40" w:line="288" w:lineRule="auto"/>
              <w:ind w:firstLine="0"/>
              <w:jc w:val="left"/>
            </w:pPr>
            <w:r>
              <w:rPr>
                <w:rFonts w:ascii="Times New Roman" w:hAnsi="Times New Roman" w:eastAsia="宋体" w:cs="Times New Roman"/>
                <w:b w:val="0"/>
                <w:i w:val="0"/>
                <w:color w:val="000000"/>
                <w:sz w:val="19"/>
              </w:rPr>
              <w:t>不依赖动力学模型，仅利用状态跟踪误差（单回路/串级 PID）</w:t>
            </w:r>
          </w:p>
        </w:tc>
        <w:tc>
          <w:tcPr>
            <w:tcW w:w="1531" w:type="dxa"/>
            <w:vAlign w:val="center"/>
          </w:tcPr>
          <w:p w14:paraId="58DDE0CE">
            <w:pPr>
              <w:spacing w:before="40" w:after="40" w:line="288" w:lineRule="auto"/>
              <w:ind w:firstLine="0"/>
              <w:jc w:val="left"/>
            </w:pPr>
            <w:r>
              <w:rPr>
                <w:rFonts w:ascii="Times New Roman" w:hAnsi="Times New Roman" w:eastAsia="宋体" w:cs="Times New Roman"/>
                <w:b w:val="0"/>
                <w:i w:val="0"/>
                <w:color w:val="000000"/>
                <w:sz w:val="19"/>
              </w:rPr>
              <w:t>固定比例混控或无约束伪逆直接截断</w:t>
            </w:r>
          </w:p>
        </w:tc>
        <w:tc>
          <w:tcPr>
            <w:tcW w:w="1474" w:type="dxa"/>
            <w:vAlign w:val="center"/>
          </w:tcPr>
          <w:p w14:paraId="1E21BF03">
            <w:pPr>
              <w:spacing w:before="40" w:after="40" w:line="288" w:lineRule="auto"/>
              <w:ind w:firstLine="0"/>
              <w:jc w:val="left"/>
            </w:pPr>
            <w:r>
              <w:rPr>
                <w:rFonts w:ascii="Times New Roman" w:hAnsi="Times New Roman" w:eastAsia="宋体" w:cs="Times New Roman"/>
                <w:b w:val="0"/>
                <w:i w:val="0"/>
                <w:color w:val="000000"/>
                <w:sz w:val="19"/>
              </w:rPr>
              <w:t>纯数值脚本或基础飞控固件</w:t>
            </w:r>
          </w:p>
        </w:tc>
        <w:tc>
          <w:tcPr>
            <w:tcW w:w="1757" w:type="dxa"/>
            <w:vAlign w:val="center"/>
          </w:tcPr>
          <w:p w14:paraId="509F5AC7">
            <w:pPr>
              <w:spacing w:before="40" w:after="40" w:line="288" w:lineRule="auto"/>
              <w:ind w:firstLine="0"/>
              <w:jc w:val="left"/>
            </w:pPr>
            <w:r>
              <w:rPr>
                <w:rFonts w:ascii="Times New Roman" w:hAnsi="Times New Roman" w:eastAsia="宋体" w:cs="Times New Roman"/>
                <w:b w:val="0"/>
                <w:i w:val="0"/>
                <w:color w:val="000000"/>
                <w:sz w:val="19"/>
              </w:rPr>
              <w:t>结构简单、易于工程初调；但忽略多轴水动力耦合与非线性恢复力矩，大机动与流扰下易超调</w:t>
            </w:r>
          </w:p>
        </w:tc>
      </w:tr>
      <w:tr w14:paraId="67E84A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04" w:type="dxa"/>
            <w:vAlign w:val="center"/>
          </w:tcPr>
          <w:p w14:paraId="44EF5D05">
            <w:pPr>
              <w:spacing w:before="40" w:after="40" w:line="288" w:lineRule="auto"/>
              <w:ind w:firstLine="0"/>
              <w:jc w:val="center"/>
            </w:pPr>
            <w:r>
              <w:rPr>
                <w:rFonts w:ascii="Times New Roman" w:hAnsi="Times New Roman" w:eastAsia="宋体" w:cs="Times New Roman"/>
                <w:b w:val="0"/>
                <w:i w:val="0"/>
                <w:color w:val="000000"/>
                <w:sz w:val="19"/>
              </w:rPr>
              <w:t>全状态解析模型控制</w:t>
            </w:r>
          </w:p>
        </w:tc>
        <w:tc>
          <w:tcPr>
            <w:tcW w:w="850" w:type="dxa"/>
            <w:vAlign w:val="center"/>
          </w:tcPr>
          <w:p w14:paraId="28B34AED">
            <w:pPr>
              <w:spacing w:before="40" w:after="40" w:line="288" w:lineRule="auto"/>
              <w:ind w:firstLine="0"/>
              <w:jc w:val="center"/>
            </w:pPr>
            <w:r>
              <w:rPr>
                <w:rFonts w:ascii="Times New Roman" w:hAnsi="Times New Roman" w:eastAsia="宋体" w:cs="Times New Roman"/>
                <w:b w:val="0"/>
                <w:i w:val="0"/>
                <w:color w:val="000000"/>
                <w:sz w:val="19"/>
              </w:rPr>
              <w:t>[9], [10]</w:t>
            </w:r>
          </w:p>
        </w:tc>
        <w:tc>
          <w:tcPr>
            <w:tcW w:w="1814" w:type="dxa"/>
            <w:vAlign w:val="center"/>
          </w:tcPr>
          <w:p w14:paraId="1FE333A9">
            <w:pPr>
              <w:spacing w:before="40" w:after="40" w:line="288" w:lineRule="auto"/>
              <w:ind w:firstLine="0"/>
              <w:jc w:val="left"/>
            </w:pPr>
            <w:r>
              <w:rPr>
                <w:rFonts w:ascii="Times New Roman" w:hAnsi="Times New Roman" w:eastAsia="宋体" w:cs="Times New Roman"/>
                <w:b w:val="0"/>
                <w:i w:val="0"/>
                <w:color w:val="000000"/>
                <w:sz w:val="19"/>
              </w:rPr>
              <w:t>依赖完整六自由度水动力解析模型进行状态重构或前馈自适应抵消</w:t>
            </w:r>
          </w:p>
        </w:tc>
        <w:tc>
          <w:tcPr>
            <w:tcW w:w="1531" w:type="dxa"/>
            <w:vAlign w:val="center"/>
          </w:tcPr>
          <w:p w14:paraId="26F9F83D">
            <w:pPr>
              <w:spacing w:before="40" w:after="40" w:line="288" w:lineRule="auto"/>
              <w:ind w:firstLine="0"/>
              <w:jc w:val="left"/>
            </w:pPr>
            <w:r>
              <w:rPr>
                <w:rFonts w:ascii="Times New Roman" w:hAnsi="Times New Roman" w:eastAsia="宋体" w:cs="Times New Roman"/>
                <w:b w:val="0"/>
                <w:i w:val="0"/>
                <w:color w:val="000000"/>
                <w:sz w:val="19"/>
              </w:rPr>
              <w:t>伪逆分配或结合执行器动态补偿</w:t>
            </w:r>
          </w:p>
        </w:tc>
        <w:tc>
          <w:tcPr>
            <w:tcW w:w="1474" w:type="dxa"/>
            <w:vAlign w:val="center"/>
          </w:tcPr>
          <w:p w14:paraId="00168D6C">
            <w:pPr>
              <w:spacing w:before="40" w:after="40" w:line="288" w:lineRule="auto"/>
              <w:ind w:firstLine="0"/>
              <w:jc w:val="left"/>
            </w:pPr>
            <w:r>
              <w:rPr>
                <w:rFonts w:ascii="Times New Roman" w:hAnsi="Times New Roman" w:eastAsia="宋体" w:cs="Times New Roman"/>
                <w:b w:val="0"/>
                <w:i w:val="0"/>
                <w:color w:val="000000"/>
                <w:sz w:val="19"/>
              </w:rPr>
              <w:t>离线数学仿真（如 MATLAB）与专用水池测试</w:t>
            </w:r>
          </w:p>
        </w:tc>
        <w:tc>
          <w:tcPr>
            <w:tcW w:w="1757" w:type="dxa"/>
            <w:vAlign w:val="center"/>
          </w:tcPr>
          <w:p w14:paraId="742F7412">
            <w:pPr>
              <w:spacing w:before="40" w:after="40" w:line="288" w:lineRule="auto"/>
              <w:ind w:firstLine="0"/>
              <w:jc w:val="left"/>
            </w:pPr>
            <w:r>
              <w:rPr>
                <w:rFonts w:ascii="Times New Roman" w:hAnsi="Times New Roman" w:eastAsia="宋体" w:cs="Times New Roman"/>
                <w:b w:val="0"/>
                <w:i w:val="0"/>
                <w:color w:val="000000"/>
                <w:sz w:val="19"/>
              </w:rPr>
              <w:t>理论解耦与跟踪精度高；但对开架式 ROV 全套水动力参数的先验建模精度要求较高</w:t>
            </w:r>
          </w:p>
        </w:tc>
      </w:tr>
      <w:tr w14:paraId="16BE2E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04" w:type="dxa"/>
            <w:vAlign w:val="center"/>
          </w:tcPr>
          <w:p w14:paraId="16D0EDD2">
            <w:pPr>
              <w:spacing w:before="40" w:after="40" w:line="288" w:lineRule="auto"/>
              <w:ind w:firstLine="0"/>
              <w:jc w:val="center"/>
            </w:pPr>
            <w:r>
              <w:rPr>
                <w:rFonts w:ascii="Times New Roman" w:hAnsi="Times New Roman" w:eastAsia="宋体" w:cs="Times New Roman"/>
                <w:b w:val="0"/>
                <w:i w:val="0"/>
                <w:color w:val="000000"/>
                <w:sz w:val="19"/>
              </w:rPr>
              <w:t>局部增量/动态逆控制</w:t>
            </w:r>
          </w:p>
        </w:tc>
        <w:tc>
          <w:tcPr>
            <w:tcW w:w="850" w:type="dxa"/>
            <w:vAlign w:val="center"/>
          </w:tcPr>
          <w:p w14:paraId="3D5E4B20">
            <w:pPr>
              <w:spacing w:before="40" w:after="40" w:line="288" w:lineRule="auto"/>
              <w:ind w:firstLine="0"/>
              <w:jc w:val="center"/>
            </w:pPr>
            <w:r>
              <w:rPr>
                <w:rFonts w:ascii="Times New Roman" w:hAnsi="Times New Roman" w:eastAsia="宋体" w:cs="Times New Roman"/>
                <w:b w:val="0"/>
                <w:i w:val="0"/>
                <w:color w:val="000000"/>
                <w:sz w:val="19"/>
                <w:highlight w:val="yellow"/>
              </w:rPr>
              <w:t>[11]</w:t>
            </w:r>
          </w:p>
        </w:tc>
        <w:tc>
          <w:tcPr>
            <w:tcW w:w="1814" w:type="dxa"/>
            <w:vAlign w:val="center"/>
          </w:tcPr>
          <w:p w14:paraId="165AB6AB">
            <w:pPr>
              <w:spacing w:before="40" w:after="40" w:line="288" w:lineRule="auto"/>
              <w:ind w:firstLine="0"/>
              <w:jc w:val="left"/>
            </w:pPr>
            <w:r>
              <w:rPr>
                <w:rFonts w:ascii="Times New Roman" w:hAnsi="Times New Roman" w:eastAsia="宋体" w:cs="Times New Roman"/>
                <w:b w:val="0"/>
                <w:i w:val="0"/>
                <w:color w:val="000000"/>
                <w:sz w:val="19"/>
              </w:rPr>
              <w:t>结合局部控制效能模型与高频角加速度/状态差分反馈补偿不确定性</w:t>
            </w:r>
          </w:p>
        </w:tc>
        <w:tc>
          <w:tcPr>
            <w:tcW w:w="1531" w:type="dxa"/>
            <w:vAlign w:val="center"/>
          </w:tcPr>
          <w:p w14:paraId="4F80AD8A">
            <w:pPr>
              <w:spacing w:before="40" w:after="40" w:line="288" w:lineRule="auto"/>
              <w:ind w:firstLine="0"/>
              <w:jc w:val="left"/>
            </w:pPr>
            <w:r>
              <w:rPr>
                <w:rFonts w:ascii="Times New Roman" w:hAnsi="Times New Roman" w:eastAsia="宋体" w:cs="Times New Roman"/>
                <w:b w:val="0"/>
                <w:i w:val="0"/>
                <w:color w:val="000000"/>
                <w:sz w:val="19"/>
              </w:rPr>
              <w:t>伪逆分配或加权伪逆分配</w:t>
            </w:r>
          </w:p>
        </w:tc>
        <w:tc>
          <w:tcPr>
            <w:tcW w:w="1474" w:type="dxa"/>
            <w:vAlign w:val="center"/>
          </w:tcPr>
          <w:p w14:paraId="35A3952C">
            <w:pPr>
              <w:spacing w:before="40" w:after="40" w:line="288" w:lineRule="auto"/>
              <w:ind w:firstLine="0"/>
              <w:jc w:val="left"/>
            </w:pPr>
            <w:r>
              <w:rPr>
                <w:rFonts w:ascii="Times New Roman" w:hAnsi="Times New Roman" w:eastAsia="宋体" w:cs="Times New Roman"/>
                <w:b w:val="0"/>
                <w:i w:val="0"/>
                <w:color w:val="000000"/>
                <w:sz w:val="19"/>
              </w:rPr>
              <w:t>ROS/Gazebo 仿真与定制嵌入式节点</w:t>
            </w:r>
          </w:p>
        </w:tc>
        <w:tc>
          <w:tcPr>
            <w:tcW w:w="1757" w:type="dxa"/>
            <w:vAlign w:val="center"/>
          </w:tcPr>
          <w:p w14:paraId="5D7D6549">
            <w:pPr>
              <w:spacing w:before="40" w:after="40" w:line="288" w:lineRule="auto"/>
              <w:ind w:firstLine="0"/>
              <w:jc w:val="left"/>
            </w:pPr>
            <w:r>
              <w:rPr>
                <w:rFonts w:ascii="Times New Roman" w:hAnsi="Times New Roman" w:eastAsia="宋体" w:cs="Times New Roman"/>
                <w:b w:val="0"/>
                <w:i w:val="0"/>
                <w:color w:val="000000"/>
                <w:sz w:val="19"/>
              </w:rPr>
              <w:t>对慢变水动力阻尼参数不敏感、高频抗扰较好；但对传感器滤波同步与分配矩阵准确性敏感</w:t>
            </w:r>
          </w:p>
        </w:tc>
      </w:tr>
      <w:tr w14:paraId="439B3F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04" w:type="dxa"/>
            <w:vAlign w:val="center"/>
          </w:tcPr>
          <w:p w14:paraId="7191ED95">
            <w:pPr>
              <w:spacing w:before="40" w:after="40" w:line="288" w:lineRule="auto"/>
              <w:ind w:firstLine="0"/>
              <w:jc w:val="center"/>
            </w:pPr>
            <w:r>
              <w:rPr>
                <w:rFonts w:ascii="Times New Roman" w:hAnsi="Times New Roman" w:eastAsia="宋体" w:cs="Times New Roman"/>
                <w:b/>
                <w:i w:val="0"/>
                <w:color w:val="000000"/>
                <w:sz w:val="19"/>
              </w:rPr>
              <w:t>本课题研究方案</w:t>
            </w:r>
          </w:p>
        </w:tc>
        <w:tc>
          <w:tcPr>
            <w:tcW w:w="850" w:type="dxa"/>
            <w:vAlign w:val="center"/>
          </w:tcPr>
          <w:p w14:paraId="2E850B18">
            <w:pPr>
              <w:spacing w:before="40" w:after="40" w:line="288" w:lineRule="auto"/>
              <w:ind w:firstLine="0"/>
              <w:jc w:val="center"/>
            </w:pPr>
            <w:r>
              <w:rPr>
                <w:rFonts w:ascii="Times New Roman" w:hAnsi="Times New Roman" w:eastAsia="宋体" w:cs="Times New Roman"/>
                <w:b w:val="0"/>
                <w:i w:val="0"/>
                <w:color w:val="000000"/>
                <w:sz w:val="19"/>
              </w:rPr>
              <w:t>—</w:t>
            </w:r>
          </w:p>
        </w:tc>
        <w:tc>
          <w:tcPr>
            <w:tcW w:w="1814" w:type="dxa"/>
            <w:vAlign w:val="center"/>
          </w:tcPr>
          <w:p w14:paraId="75894084">
            <w:pPr>
              <w:spacing w:before="40" w:after="40" w:line="288" w:lineRule="auto"/>
              <w:ind w:firstLine="0"/>
              <w:jc w:val="left"/>
            </w:pPr>
            <w:r>
              <w:rPr>
                <w:rFonts w:ascii="Times New Roman" w:hAnsi="Times New Roman" w:eastAsia="宋体" w:cs="Times New Roman"/>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e>
                  <m:r>
                    <m:rPr>
                      <m:sty m:val="bi"/>
                    </m:rPr>
                    <w:rPr>
                      <w:rFonts w:ascii="Cambria Math" w:hAnsi="Cambria Math" w:eastAsia="宋体"/>
                      <w:sz w:val="24"/>
                      <w:szCs w:val="24"/>
                    </w:rPr>
                    <m:t>M</m:t>
                  </m:r>
                </m:e>
              </m:acc>
              <m:r>
                <m:rPr>
                  <m:sty m:val="p"/>
                </m:rPr>
                <w:rPr>
                  <w:rFonts w:ascii="Cambria Math" w:hAnsi="Cambria Math" w:eastAsia="宋体"/>
                  <w:sz w:val="24"/>
                  <w:szCs w:val="24"/>
                </w:rPr>
                <m:t>,</m:t>
              </m:r>
              <m:acc>
                <m:accPr/>
                <m:e>
                  <m:r>
                    <m:rPr>
                      <m:sty m:val="bi"/>
                    </m:rPr>
                    <w:rPr>
                      <w:rFonts w:ascii="Cambria Math" w:hAnsi="Cambria Math" w:eastAsia="宋体"/>
                      <w:sz w:val="24"/>
                      <w:szCs w:val="24"/>
                    </w:rPr>
                    <m:t>C</m:t>
                  </m:r>
                </m:e>
              </m:acc>
              <m:r>
                <m:rPr>
                  <m:sty m:val="p"/>
                </m:rPr>
                <w:rPr>
                  <w:rFonts w:ascii="Cambria Math" w:hAnsi="Cambria Math" w:eastAsia="宋体"/>
                  <w:sz w:val="24"/>
                  <w:szCs w:val="24"/>
                </w:rPr>
                <m:t>,</m:t>
              </m:r>
              <m:acc>
                <m:accPr/>
                <m:e>
                  <m:r>
                    <m:rPr>
                      <m:sty m:val="bi"/>
                    </m:rPr>
                    <w:rPr>
                      <w:rFonts w:ascii="Cambria Math" w:hAnsi="Cambria Math" w:eastAsia="宋体"/>
                      <w:sz w:val="24"/>
                      <w:szCs w:val="24"/>
                    </w:rPr>
                    <m:t>D</m:t>
                  </m:r>
                </m:e>
              </m:acc>
              <m:r>
                <m:rPr>
                  <m:sty m:val="p"/>
                </m:rPr>
                <w:rPr>
                  <w:rFonts w:ascii="Cambria Math" w:hAnsi="Cambria Math" w:eastAsia="宋体"/>
                  <w:sz w:val="24"/>
                  <w:szCs w:val="24"/>
                </w:rPr>
                <m:t>,</m:t>
              </m:r>
              <m:acc>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eastAsia="宋体" w:cs="Times New Roman"/>
                <w:b w:val="0"/>
                <w:i w:val="0"/>
                <w:color w:val="000000"/>
                <w:sz w:val="19"/>
              </w:rPr>
              <w:t>，模型特性补偿与实时状态反馈相结合</w:t>
            </w:r>
          </w:p>
        </w:tc>
        <w:tc>
          <w:tcPr>
            <w:tcW w:w="1531" w:type="dxa"/>
            <w:vAlign w:val="center"/>
          </w:tcPr>
          <w:p w14:paraId="36B5B6FD">
            <w:pPr>
              <w:spacing w:before="40" w:after="40" w:line="288" w:lineRule="auto"/>
              <w:ind w:firstLine="0"/>
              <w:jc w:val="left"/>
            </w:pPr>
            <w:r>
              <w:rPr>
                <w:rFonts w:ascii="Times New Roman" w:hAnsi="Times New Roman" w:eastAsia="宋体" w:cs="Times New Roman"/>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eastAsia="宋体" w:cs="Times New Roman"/>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eastAsia="宋体" w:cs="Times New Roman"/>
                <w:b w:val="0"/>
                <w:i w:val="0"/>
                <w:color w:val="000000"/>
                <w:sz w:val="19"/>
              </w:rPr>
              <w:t xml:space="preserve">，考虑基本推力输出范围约束 </w:t>
            </w:r>
            <m:oMath>
              <m:r>
                <m:rPr>
                  <m:sty m:val="p"/>
                </m:rPr>
                <w:rPr>
                  <w:rFonts w:ascii="Cambria Math" w:hAnsi="Cambria Math" w:eastAsia="宋体"/>
                  <w:sz w:val="24"/>
                  <w:szCs w:val="24"/>
                </w:rPr>
                <m:t>[</m:t>
              </m:r>
              <m:sSub>
                <m:sSubPr/>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sSub>
                <m:sSubPr/>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w="1474" w:type="dxa"/>
            <w:vAlign w:val="center"/>
          </w:tcPr>
          <w:p w14:paraId="2DAFDB0A">
            <w:pPr>
              <w:spacing w:before="40" w:after="40" w:line="288" w:lineRule="auto"/>
              <w:ind w:firstLine="0"/>
              <w:jc w:val="left"/>
            </w:pPr>
            <w:r>
              <w:rPr>
                <w:rFonts w:ascii="Times New Roman" w:hAnsi="Times New Roman" w:eastAsia="宋体" w:cs="Times New Roman"/>
                <w:b w:val="0"/>
                <w:i w:val="0"/>
                <w:color w:val="000000"/>
                <w:sz w:val="19"/>
              </w:rPr>
              <w:t>基于 PX4 架构与 uORB 总线的 SITL 软件在环闭环仿真</w:t>
            </w:r>
          </w:p>
        </w:tc>
        <w:tc>
          <w:tcPr>
            <w:tcW w:w="1757" w:type="dxa"/>
            <w:vAlign w:val="center"/>
          </w:tcPr>
          <w:p w14:paraId="49F3D23B">
            <w:pPr>
              <w:spacing w:before="40" w:after="40" w:line="288" w:lineRule="auto"/>
              <w:ind w:firstLine="0"/>
              <w:jc w:val="left"/>
            </w:pPr>
            <w:r>
              <w:rPr>
                <w:rFonts w:ascii="Times New Roman" w:hAnsi="Times New Roman" w:eastAsia="宋体" w:cs="Times New Roman"/>
                <w:b w:val="0"/>
                <w:i w:val="0"/>
                <w:color w:val="000000"/>
                <w:sz w:val="19"/>
              </w:rPr>
              <w:t>兼顾物理模型可解释性与状态反馈稳健性，保留具体控制算法横向比选空间，软件架构标准化</w:t>
            </w:r>
          </w:p>
        </w:tc>
      </w:tr>
    </w:tbl>
    <w:p w14:paraId="07026690">
      <w:pPr>
        <w:pStyle w:val="10"/>
        <w:spacing w:line="360" w:lineRule="auto"/>
        <w:ind w:firstLine="480" w:firstLineChars="200"/>
        <w:jc w:val="both"/>
      </w:pPr>
      <w:r>
        <w:rPr>
          <w:rFonts w:ascii="Times New Roman" w:hAnsi="Times New Roman" w:eastAsia="宋体" w:cs="Times New Roman"/>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14:paraId="5FA335B0">
      <w:pPr>
        <w:spacing w:before="120" w:beforeLines="50" w:after="120" w:afterLines="50" w:line="360" w:lineRule="auto"/>
        <w:ind w:firstLine="560"/>
        <w:jc w:val="both"/>
      </w:pPr>
      <w:r>
        <w:rPr>
          <w:rFonts w:ascii="Times New Roman" w:hAnsi="Times New Roman" w:eastAsia="黑体" w:cs="Times New Roman"/>
          <w:b w:val="0"/>
          <w:i w:val="0"/>
          <w:color w:val="000000"/>
          <w:sz w:val="28"/>
        </w:rPr>
        <w:t>二、毕业论文方案介绍</w:t>
      </w:r>
    </w:p>
    <w:p w14:paraId="0A6ABA19">
      <w:pPr>
        <w:pStyle w:val="9"/>
        <w:spacing w:before="120" w:beforeLines="50" w:after="120" w:afterLines="50" w:line="360" w:lineRule="auto"/>
        <w:ind w:left="0" w:firstLine="0" w:firstLineChars="0"/>
        <w:jc w:val="left"/>
      </w:pPr>
      <w:r>
        <w:rPr>
          <w:rFonts w:ascii="Times New Roman" w:hAnsi="Times New Roman" w:eastAsia="黑体" w:cs="Times New Roman"/>
          <w:b w:val="0"/>
          <w:i w:val="0"/>
          <w:color w:val="000000"/>
          <w:sz w:val="24"/>
          <w:highlight w:val="yellow"/>
        </w:rPr>
        <w:t xml:space="preserve">1. </w:t>
      </w:r>
      <w:r>
        <w:rPr>
          <w:rFonts w:ascii="Times New Roman" w:hAnsi="Times New Roman" w:eastAsia="黑体" w:cs="Times New Roman"/>
          <w:b w:val="0"/>
          <w:i w:val="0"/>
          <w:color w:val="000000"/>
          <w:sz w:val="24"/>
        </w:rPr>
        <w:t>主要研究内容</w:t>
      </w:r>
    </w:p>
    <w:p w14:paraId="7833AF90">
      <w:pPr>
        <w:pStyle w:val="10"/>
        <w:spacing w:line="360" w:lineRule="auto"/>
        <w:ind w:firstLine="480" w:firstLineChars="200"/>
        <w:jc w:val="both"/>
      </w:pPr>
      <w:r>
        <w:rPr>
          <w:rFonts w:ascii="Times New Roman" w:hAnsi="Times New Roman" w:eastAsia="黑体" w:cs="Times New Roman"/>
          <w:b w:val="0"/>
          <w:i w:val="0"/>
          <w:color w:val="000000"/>
          <w:sz w:val="24"/>
          <w:highlight w:val="yellow"/>
        </w:rPr>
        <w:t xml:space="preserve">1.1 </w:t>
      </w:r>
      <w:r>
        <w:rPr>
          <w:rFonts w:ascii="Times New Roman" w:hAnsi="Times New Roman" w:eastAsia="黑体" w:cs="Times New Roman"/>
          <w:b w:val="0"/>
          <w:i w:val="0"/>
          <w:color w:val="000000"/>
          <w:sz w:val="24"/>
        </w:rPr>
        <w:t>预期研究目标</w:t>
      </w:r>
    </w:p>
    <w:p w14:paraId="4867354A">
      <w:pPr>
        <w:pStyle w:val="10"/>
        <w:spacing w:line="360" w:lineRule="auto"/>
        <w:ind w:firstLine="480" w:firstLineChars="200"/>
        <w:jc w:val="both"/>
      </w:pPr>
      <w:r>
        <w:rPr>
          <w:rFonts w:ascii="Times New Roman" w:hAnsi="Times New Roman" w:eastAsia="宋体" w:cs="Times New Roman"/>
          <w:b w:val="0"/>
          <w:i w:val="0"/>
          <w:color w:val="000000"/>
          <w:sz w:val="24"/>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与论文写作主线。</w:t>
      </w:r>
    </w:p>
    <w:p w14:paraId="29577262">
      <w:pPr>
        <w:pStyle w:val="10"/>
        <w:spacing w:line="360" w:lineRule="auto"/>
        <w:ind w:firstLine="480" w:firstLineChars="200"/>
        <w:jc w:val="both"/>
      </w:pPr>
      <w:r>
        <w:rPr>
          <w:rFonts w:ascii="Times New Roman" w:hAnsi="Times New Roman" w:eastAsia="黑体" w:cs="Times New Roman"/>
          <w:b w:val="0"/>
          <w:i w:val="0"/>
          <w:color w:val="000000"/>
          <w:sz w:val="24"/>
          <w:highlight w:val="yellow"/>
        </w:rPr>
        <w:t xml:space="preserve">1.2 </w:t>
      </w:r>
      <w:r>
        <w:rPr>
          <w:rFonts w:ascii="Times New Roman" w:hAnsi="Times New Roman" w:eastAsia="黑体" w:cs="Times New Roman"/>
          <w:b w:val="0"/>
          <w:i w:val="0"/>
          <w:color w:val="000000"/>
          <w:sz w:val="24"/>
        </w:rPr>
        <w:t>研究内容要点</w:t>
      </w:r>
    </w:p>
    <w:p w14:paraId="22A49D23">
      <w:pPr>
        <w:pStyle w:val="10"/>
        <w:spacing w:line="360" w:lineRule="auto"/>
        <w:ind w:firstLine="480" w:firstLineChars="200"/>
        <w:jc w:val="both"/>
      </w:pPr>
      <w:r>
        <w:rPr>
          <w:rFonts w:ascii="Times New Roman" w:hAnsi="Times New Roman" w:eastAsia="宋体" w:cs="Times New Roman"/>
          <w:b w:val="0"/>
          <w:i w:val="0"/>
          <w:color w:val="000000"/>
          <w:sz w:val="24"/>
        </w:rPr>
        <w:t>围绕上述研究目标</w:t>
      </w:r>
      <w:r>
        <w:rPr>
          <w:rFonts w:ascii="Times New Roman" w:hAnsi="Times New Roman" w:eastAsia="宋体" w:cs="Times New Roman"/>
          <w:b w:val="0"/>
          <w:i w:val="0"/>
          <w:strike/>
          <w:dstrike w:val="0"/>
          <w:color w:val="000000"/>
          <w:sz w:val="24"/>
          <w:highlight w:val="yellow"/>
        </w:rPr>
        <w:t>与后续毕业论文的核心章节脉络</w:t>
      </w:r>
      <w:r>
        <w:rPr>
          <w:rFonts w:ascii="Times New Roman" w:hAnsi="Times New Roman" w:eastAsia="宋体" w:cs="Times New Roman"/>
          <w:b w:val="0"/>
          <w:i w:val="0"/>
          <w:color w:val="000000"/>
          <w:sz w:val="24"/>
        </w:rPr>
        <w:t>，本课题应完成的主要研究内容与拟解决的关键问题包括以下四个方面：</w:t>
      </w:r>
    </w:p>
    <w:p w14:paraId="61F866B1">
      <w:pPr>
        <w:pStyle w:val="10"/>
        <w:spacing w:line="360" w:lineRule="auto"/>
        <w:ind w:firstLine="480" w:firstLineChars="200"/>
        <w:jc w:val="both"/>
      </w:pPr>
      <w:r>
        <w:rPr>
          <w:rFonts w:ascii="Times New Roman" w:hAnsi="Times New Roman" w:eastAsia="宋体" w:cs="Times New Roman"/>
          <w:b/>
          <w:i w:val="0"/>
          <w:color w:val="000000"/>
          <w:sz w:val="24"/>
        </w:rPr>
        <w:t>1） 水下航行器动力学与推进器建模</w:t>
      </w:r>
      <w:r>
        <w:rPr>
          <w:rFonts w:ascii="Times New Roman" w:hAnsi="Times New Roman" w:eastAsia="宋体" w:cs="Times New Roman"/>
          <w:b/>
          <w:i w:val="0"/>
          <w:strike/>
          <w:dstrike w:val="0"/>
          <w:color w:val="000000"/>
          <w:sz w:val="24"/>
          <w:highlight w:val="yellow"/>
        </w:rPr>
        <w:t>（对应理论模型构建基础）</w:t>
      </w:r>
      <w:r>
        <w:rPr>
          <w:rFonts w:ascii="Times New Roman" w:hAnsi="Times New Roman" w:eastAsia="宋体" w:cs="Times New Roman"/>
          <w:b/>
          <w:i w:val="0"/>
          <w:color w:val="000000"/>
          <w:sz w:val="24"/>
        </w:rPr>
        <w:t>：</w:t>
      </w:r>
      <w:r>
        <w:rPr>
          <w:rFonts w:ascii="Times New Roman" w:hAnsi="Times New Roman" w:eastAsia="宋体" w:cs="Times New Roman"/>
          <w:b w:val="0"/>
          <w:i w:val="0"/>
          <w:color w:val="000000"/>
          <w:sz w:val="24"/>
        </w:rPr>
        <w:t>依托已有八推进器水下航行器平台，梳理其机械构型与推进器三维几何布局，建立六自由度运动学与非线性动力学模型，系统考虑刚体惯性、水动力附加质量、科氏向心力、线性和二次非线性水动力阻尼以及重浮力恢复力矩等主导物理效应；结合已有平台推进器电气与流体特性，建立单推进器控制输入到推力输出的静态映射与必要动态模型，为系统辨识、控制设计与仿真提供可靠的模型基础。</w:t>
      </w:r>
    </w:p>
    <w:p w14:paraId="3CBD1DBC">
      <w:pPr>
        <w:pStyle w:val="10"/>
        <w:spacing w:line="360" w:lineRule="auto"/>
        <w:ind w:firstLine="480" w:firstLineChars="200"/>
        <w:jc w:val="both"/>
      </w:pPr>
      <w:r>
        <w:rPr>
          <w:rFonts w:ascii="Times New Roman" w:hAnsi="Times New Roman" w:eastAsia="宋体" w:cs="Times New Roman"/>
          <w:b/>
          <w:i w:val="0"/>
          <w:color w:val="000000"/>
          <w:sz w:val="24"/>
        </w:rPr>
        <w:t>2） 系统辨识与模型验证分析</w:t>
      </w:r>
      <w:r>
        <w:rPr>
          <w:rFonts w:ascii="Times New Roman" w:hAnsi="Times New Roman" w:eastAsia="宋体" w:cs="Times New Roman"/>
          <w:b/>
          <w:i w:val="0"/>
          <w:color w:val="000000"/>
          <w:sz w:val="24"/>
          <w:highlight w:val="yellow"/>
        </w:rPr>
        <w:t>（对应模型参数获取与精度核准</w:t>
      </w:r>
      <w:bookmarkStart w:id="17" w:name="_GoBack"/>
      <w:bookmarkEnd w:id="17"/>
      <w:r>
        <w:rPr>
          <w:rFonts w:ascii="Times New Roman" w:hAnsi="Times New Roman" w:eastAsia="宋体" w:cs="Times New Roman"/>
          <w:b/>
          <w:i w:val="0"/>
          <w:color w:val="000000"/>
          <w:sz w:val="24"/>
          <w:highlight w:val="yellow"/>
        </w:rPr>
        <w:t>）</w:t>
      </w:r>
      <w:r>
        <w:rPr>
          <w:rFonts w:ascii="Times New Roman" w:hAnsi="Times New Roman" w:eastAsia="宋体" w:cs="Times New Roman"/>
          <w:b/>
          <w:i w:val="0"/>
          <w:color w:val="000000"/>
          <w:sz w:val="24"/>
        </w:rPr>
        <w:t>：</w:t>
      </w:r>
      <w:r>
        <w:rPr>
          <w:rFonts w:ascii="Times New Roman" w:hAnsi="Times New Roman" w:eastAsia="宋体" w:cs="Times New Roman"/>
          <w:b w:val="0"/>
          <w:i w:val="0"/>
          <w:color w:val="000000"/>
          <w:sz w:val="24"/>
        </w:rPr>
        <w:t>在理论动力学模型基础上，分析各自由度动力学方程中未知参数的可辨识性，明确系统辨识的激励输入、状态响应输出及所需数据关系；结合已有平台参数资料和相关测试/仿真动态响应数据开展系统参数辨识，对水动力附加质量与阻尼等关键未知量进行估计与修正；通过代表性动态响应对比模型输出与测试数据，量化评估模型拟合误差与残差分布，明确标称模型的物理保真度与工程适用范围。</w:t>
      </w:r>
    </w:p>
    <w:p w14:paraId="28906BBA">
      <w:pPr>
        <w:pStyle w:val="10"/>
        <w:spacing w:line="360" w:lineRule="auto"/>
        <w:ind w:firstLine="480" w:firstLineChars="200"/>
        <w:jc w:val="both"/>
      </w:pPr>
      <w:r>
        <w:rPr>
          <w:rFonts w:ascii="Times New Roman" w:hAnsi="Times New Roman" w:eastAsia="宋体" w:cs="Times New Roman"/>
          <w:b/>
          <w:i w:val="0"/>
          <w:color w:val="000000"/>
          <w:sz w:val="24"/>
        </w:rPr>
        <w:t>3） 模型运动控制与八推进器控制分配</w:t>
      </w:r>
      <w:r>
        <w:rPr>
          <w:rFonts w:ascii="Times New Roman" w:hAnsi="Times New Roman" w:eastAsia="宋体" w:cs="Times New Roman"/>
          <w:b/>
          <w:i w:val="0"/>
          <w:color w:val="000000"/>
          <w:sz w:val="24"/>
          <w:highlight w:val="yellow"/>
        </w:rPr>
        <w:t>（对应控制算法与执行器解算）</w:t>
      </w:r>
      <w:r>
        <w:rPr>
          <w:rFonts w:ascii="Times New Roman" w:hAnsi="Times New Roman" w:eastAsia="宋体" w:cs="Times New Roman"/>
          <w:b/>
          <w:i w:val="0"/>
          <w:color w:val="000000"/>
          <w:sz w:val="24"/>
        </w:rPr>
        <w:t>：</w:t>
      </w:r>
      <w:r>
        <w:rPr>
          <w:rFonts w:ascii="Times New Roman" w:hAnsi="Times New Roman" w:eastAsia="宋体" w:cs="Times New Roman"/>
          <w:b w:val="0"/>
          <w:i w:val="0"/>
          <w:color w:val="000000"/>
          <w:sz w:val="24"/>
        </w:rPr>
        <w:t xml:space="preserve">以经验证的航行器标称模型为基石，结合动力学已知特性补偿与实时状态反馈构建闭环运动控制律，输出机体期望的六自由度广义力和力矩，实现姿态、深度和航向等基本运动状态的闭环稳定跟踪，并考察模型不确定性与外部扰动对控制品质的影响；根据已有平台推进器空间安装位置与推力方向矢量构建 </w:t>
      </w:r>
      <m:oMath>
        <m:r>
          <m:rPr>
            <m:sty m:val="p"/>
          </m:rPr>
          <w:rPr>
            <w:rFonts w:ascii="Cambria Math" w:hAnsi="Cambria Math" w:eastAsia="宋体"/>
            <w:sz w:val="24"/>
            <w:szCs w:val="24"/>
          </w:rPr>
          <m:t>6 × 8</m:t>
        </m:r>
      </m:oMath>
      <w:r>
        <w:rPr>
          <w:rFonts w:ascii="Times New Roman" w:hAnsi="Times New Roman" w:eastAsia="宋体" w:cs="Times New Roman"/>
          <w:b w:val="0"/>
          <w:i w:val="0"/>
          <w:color w:val="000000"/>
          <w:sz w:val="24"/>
        </w:rPr>
        <w:t xml:space="preserve"> 控制分配矩阵，系统考虑推进器物理输出范围约束生成各推进器推力指令，量化分析控制分配误差与推力饱和情况。</w:t>
      </w:r>
    </w:p>
    <w:p w14:paraId="5A80F97B">
      <w:pPr>
        <w:pStyle w:val="10"/>
        <w:spacing w:line="360" w:lineRule="auto"/>
        <w:ind w:firstLine="480" w:firstLineChars="200"/>
        <w:jc w:val="both"/>
      </w:pPr>
      <w:r>
        <w:rPr>
          <w:rFonts w:ascii="Times New Roman" w:hAnsi="Times New Roman" w:eastAsia="宋体" w:cs="Times New Roman"/>
          <w:b/>
          <w:i w:val="0"/>
          <w:color w:val="000000"/>
          <w:sz w:val="24"/>
        </w:rPr>
        <w:t>4） PX4/SITL 闭环仿真与系统验证</w:t>
      </w:r>
      <w:r>
        <w:rPr>
          <w:rFonts w:ascii="Times New Roman" w:hAnsi="Times New Roman" w:eastAsia="宋体" w:cs="Times New Roman"/>
          <w:b/>
          <w:i w:val="0"/>
          <w:color w:val="000000"/>
          <w:sz w:val="24"/>
          <w:highlight w:val="yellow"/>
        </w:rPr>
        <w:t>（对应软件在环集成与多工况评价）</w:t>
      </w:r>
      <w:r>
        <w:rPr>
          <w:rFonts w:ascii="Times New Roman" w:hAnsi="Times New Roman" w:eastAsia="宋体" w:cs="Times New Roman"/>
          <w:b/>
          <w:i w:val="0"/>
          <w:color w:val="000000"/>
          <w:sz w:val="24"/>
        </w:rPr>
        <w:t>：</w:t>
      </w:r>
      <w:r>
        <w:rPr>
          <w:rFonts w:ascii="Times New Roman" w:hAnsi="Times New Roman" w:eastAsia="宋体" w:cs="Times New Roman"/>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设置空间定点悬停、定深控制、航向锁定及复杂三维运动轨迹等典型工况，并施加外部水流干扰，综合位置/姿态跟踪误差、动态响应指标及控制分配残差开展系统性定量性能评估。</w:t>
      </w:r>
    </w:p>
    <w:p w14:paraId="4E1185D2">
      <w:pPr>
        <w:pStyle w:val="9"/>
        <w:spacing w:before="120" w:beforeLines="50" w:after="120" w:afterLines="50" w:line="360" w:lineRule="auto"/>
        <w:ind w:left="0" w:firstLine="0" w:firstLineChars="0"/>
        <w:jc w:val="left"/>
      </w:pPr>
      <w:r>
        <w:rPr>
          <w:rFonts w:ascii="Times New Roman" w:hAnsi="Times New Roman" w:eastAsia="黑体" w:cs="Times New Roman"/>
          <w:b w:val="0"/>
          <w:i w:val="0"/>
          <w:color w:val="000000"/>
          <w:sz w:val="24"/>
          <w:highlight w:val="yellow"/>
        </w:rPr>
        <w:t xml:space="preserve">2. </w:t>
      </w:r>
      <w:r>
        <w:rPr>
          <w:rFonts w:ascii="Times New Roman" w:hAnsi="Times New Roman" w:eastAsia="黑体" w:cs="Times New Roman"/>
          <w:b w:val="0"/>
          <w:i w:val="0"/>
          <w:color w:val="000000"/>
          <w:sz w:val="24"/>
        </w:rPr>
        <w:t>研究方案</w:t>
      </w:r>
    </w:p>
    <w:p w14:paraId="580DE399">
      <w:pPr>
        <w:pStyle w:val="10"/>
        <w:spacing w:line="360" w:lineRule="auto"/>
        <w:ind w:firstLine="480" w:firstLineChars="200"/>
        <w:jc w:val="both"/>
      </w:pPr>
      <w:r>
        <w:rPr>
          <w:rFonts w:ascii="Times New Roman" w:hAnsi="Times New Roman" w:eastAsia="黑体" w:cs="Times New Roman"/>
          <w:b w:val="0"/>
          <w:i w:val="0"/>
          <w:color w:val="000000"/>
          <w:sz w:val="24"/>
          <w:highlight w:val="yellow"/>
        </w:rPr>
        <w:t xml:space="preserve">2.1 </w:t>
      </w:r>
      <w:r>
        <w:rPr>
          <w:rFonts w:ascii="Times New Roman" w:hAnsi="Times New Roman" w:eastAsia="黑体" w:cs="Times New Roman"/>
          <w:b w:val="0"/>
          <w:i w:val="0"/>
          <w:color w:val="000000"/>
          <w:sz w:val="24"/>
        </w:rPr>
        <w:t>拟采取的研究方法</w:t>
      </w:r>
    </w:p>
    <w:p w14:paraId="62A454D4">
      <w:pPr>
        <w:pStyle w:val="10"/>
        <w:spacing w:line="360" w:lineRule="auto"/>
        <w:ind w:firstLine="480" w:firstLineChars="200"/>
        <w:jc w:val="both"/>
      </w:pPr>
      <w:r>
        <w:rPr>
          <w:rFonts w:ascii="Times New Roman" w:hAnsi="Times New Roman" w:eastAsia="宋体" w:cs="Times New Roman"/>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14:paraId="6E0D6278">
      <w:pPr>
        <w:pStyle w:val="10"/>
        <w:spacing w:line="360" w:lineRule="auto"/>
        <w:ind w:firstLine="480" w:firstLineChars="200"/>
        <w:jc w:val="both"/>
      </w:pPr>
      <w:r>
        <w:rPr>
          <w:rFonts w:ascii="Times New Roman" w:hAnsi="Times New Roman" w:eastAsia="宋体" w:cs="Times New Roman"/>
          <w:b/>
          <w:i w:val="0"/>
          <w:color w:val="000000"/>
          <w:sz w:val="24"/>
        </w:rPr>
        <w:t>1） 六自由度动力学与推进器建模方法：</w:t>
      </w:r>
      <w:r>
        <w:rPr>
          <w:rFonts w:ascii="Times New Roman" w:hAnsi="Times New Roman" w:eastAsia="宋体" w:cs="Times New Roman"/>
          <w:b w:val="0"/>
          <w:i w:val="0"/>
          <w:color w:val="000000"/>
          <w:sz w:val="24"/>
          <w:highlight w:val="yellow"/>
        </w:rPr>
        <w:t>如图 2 所示</w:t>
      </w:r>
      <w:r>
        <w:rPr>
          <w:rFonts w:ascii="Times New Roman" w:hAnsi="Times New Roman" w:eastAsia="宋体" w:cs="Times New Roman"/>
          <w:b w:val="0"/>
          <w:i w:val="0"/>
          <w:color w:val="000000"/>
          <w:sz w:val="24"/>
        </w:rPr>
        <w:t xml:space="preserve">，建立北东地惯性坐标系 </w:t>
      </w:r>
      <m:oMath>
        <m:r>
          <m:rPr>
            <m:sty m:val="p"/>
          </m:rPr>
          <w:rPr>
            <w:rFonts w:ascii="Cambria Math" w:hAnsi="Cambria Math" w:eastAsia="宋体"/>
            <w:sz w:val="24"/>
            <w:szCs w:val="24"/>
          </w:rPr>
          <m:t>{</m:t>
        </m:r>
        <m:r>
          <m:rPr/>
          <w:rPr>
            <w:rFonts w:ascii="Cambria Math" w:hAnsi="Cambria Math" w:eastAsia="宋体"/>
            <w:sz w:val="24"/>
            <w:szCs w:val="24"/>
          </w:rPr>
          <m:t>n</m:t>
        </m:r>
        <m:r>
          <m:rPr>
            <m:sty m:val="p"/>
          </m:rPr>
          <w:rPr>
            <w:rFonts w:ascii="Cambria Math" w:hAnsi="Cambria Math" w:eastAsia="宋体"/>
            <w:sz w:val="24"/>
            <w:szCs w:val="24"/>
          </w:rPr>
          <m:t>}(</m:t>
        </m:r>
        <m:sSub>
          <m:sSubPr/>
          <m:e>
            <m:r>
              <m:rPr/>
              <w:rPr>
                <w:rFonts w:ascii="Cambria Math" w:hAnsi="Cambria Math" w:eastAsia="宋体"/>
                <w:sz w:val="24"/>
                <w:szCs w:val="24"/>
              </w:rPr>
              <m:t>O</m:t>
            </m:r>
          </m:e>
          <m:sub>
            <m:r>
              <m:rPr/>
              <w:rPr>
                <w:rFonts w:ascii="Cambria Math" w:hAnsi="Cambria Math" w:eastAsia="宋体"/>
                <w:sz w:val="24"/>
                <w:szCs w:val="24"/>
              </w:rPr>
              <m:t>n</m:t>
            </m:r>
          </m:sub>
        </m:sSub>
        <m:r>
          <m:rPr>
            <m:sty m:val="p"/>
          </m:rPr>
          <w:rPr>
            <w:rFonts w:ascii="Cambria Math" w:hAnsi="Cambria Math" w:eastAsia="宋体"/>
            <w:sz w:val="24"/>
            <w:szCs w:val="24"/>
          </w:rPr>
          <m:t>−</m:t>
        </m:r>
        <m:sSub>
          <m:sSubPr/>
          <m:e>
            <m:r>
              <m:rPr/>
              <w:rPr>
                <w:rFonts w:ascii="Cambria Math" w:hAnsi="Cambria Math" w:eastAsia="宋体"/>
                <w:sz w:val="24"/>
                <w:szCs w:val="24"/>
              </w:rPr>
              <m:t>x</m:t>
            </m:r>
          </m:e>
          <m:sub>
            <m:r>
              <m:rPr/>
              <w:rPr>
                <w:rFonts w:ascii="Cambria Math" w:hAnsi="Cambria Math" w:eastAsia="宋体"/>
                <w:sz w:val="24"/>
                <w:szCs w:val="24"/>
              </w:rPr>
              <m:t>n</m:t>
            </m:r>
          </m:sub>
        </m:sSub>
        <m:sSub>
          <m:sSubPr/>
          <m:e>
            <m:r>
              <m:rPr/>
              <w:rPr>
                <w:rFonts w:ascii="Cambria Math" w:hAnsi="Cambria Math" w:eastAsia="宋体"/>
                <w:sz w:val="24"/>
                <w:szCs w:val="24"/>
              </w:rPr>
              <m:t>y</m:t>
            </m:r>
          </m:e>
          <m:sub>
            <m:r>
              <m:rPr/>
              <w:rPr>
                <w:rFonts w:ascii="Cambria Math" w:hAnsi="Cambria Math" w:eastAsia="宋体"/>
                <w:sz w:val="24"/>
                <w:szCs w:val="24"/>
              </w:rPr>
              <m:t>n</m:t>
            </m:r>
          </m:sub>
        </m:sSub>
        <m:sSub>
          <m:sSubPr/>
          <m:e>
            <m:r>
              <m:rPr/>
              <w:rPr>
                <w:rFonts w:ascii="Cambria Math" w:hAnsi="Cambria Math" w:eastAsia="宋体"/>
                <w:sz w:val="24"/>
                <w:szCs w:val="24"/>
              </w:rPr>
              <m:t>z</m:t>
            </m:r>
          </m:e>
          <m:sub>
            <m:r>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eastAsia="宋体" w:cs="Times New Roman"/>
          <w:b w:val="0"/>
          <w:i w:val="0"/>
          <w:color w:val="000000"/>
          <w:sz w:val="24"/>
        </w:rPr>
        <w:t xml:space="preserve"> 与附体坐标系 </w:t>
      </w:r>
      <m:oMath>
        <m:r>
          <m:rPr>
            <m:sty m:val="p"/>
          </m:rPr>
          <w:rPr>
            <w:rFonts w:ascii="Cambria Math" w:hAnsi="Cambria Math" w:eastAsia="宋体"/>
            <w:sz w:val="24"/>
            <w:szCs w:val="24"/>
          </w:rPr>
          <m:t>{</m:t>
        </m:r>
        <m:r>
          <m:rPr/>
          <w:rPr>
            <w:rFonts w:ascii="Cambria Math" w:hAnsi="Cambria Math" w:eastAsia="宋体"/>
            <w:sz w:val="24"/>
            <w:szCs w:val="24"/>
          </w:rPr>
          <m:t>b</m:t>
        </m:r>
        <m:r>
          <m:rPr>
            <m:sty m:val="p"/>
          </m:rPr>
          <w:rPr>
            <w:rFonts w:ascii="Cambria Math" w:hAnsi="Cambria Math" w:eastAsia="宋体"/>
            <w:sz w:val="24"/>
            <w:szCs w:val="24"/>
          </w:rPr>
          <m:t>}(</m:t>
        </m:r>
        <m:sSub>
          <m:sSubPr/>
          <m:e>
            <m:r>
              <m:rPr/>
              <w:rPr>
                <w:rFonts w:ascii="Cambria Math" w:hAnsi="Cambria Math" w:eastAsia="宋体"/>
                <w:sz w:val="24"/>
                <w:szCs w:val="24"/>
              </w:rPr>
              <m:t>O</m:t>
            </m:r>
          </m:e>
          <m:sub>
            <m:r>
              <m:rPr/>
              <w:rPr>
                <w:rFonts w:ascii="Cambria Math" w:hAnsi="Cambria Math" w:eastAsia="宋体"/>
                <w:sz w:val="24"/>
                <w:szCs w:val="24"/>
              </w:rPr>
              <m:t>b</m:t>
            </m:r>
          </m:sub>
        </m:sSub>
        <m:r>
          <m:rPr>
            <m:sty m:val="p"/>
          </m:rPr>
          <w:rPr>
            <w:rFonts w:ascii="Cambria Math" w:hAnsi="Cambria Math" w:eastAsia="宋体"/>
            <w:sz w:val="24"/>
            <w:szCs w:val="24"/>
          </w:rPr>
          <m:t>−</m:t>
        </m:r>
        <m:sSub>
          <m:sSubPr/>
          <m:e>
            <m:r>
              <m:rPr/>
              <w:rPr>
                <w:rFonts w:ascii="Cambria Math" w:hAnsi="Cambria Math" w:eastAsia="宋体"/>
                <w:sz w:val="24"/>
                <w:szCs w:val="24"/>
              </w:rPr>
              <m:t>x</m:t>
            </m:r>
          </m:e>
          <m:sub>
            <m:r>
              <m:rPr/>
              <w:rPr>
                <w:rFonts w:ascii="Cambria Math" w:hAnsi="Cambria Math" w:eastAsia="宋体"/>
                <w:sz w:val="24"/>
                <w:szCs w:val="24"/>
              </w:rPr>
              <m:t>b</m:t>
            </m:r>
          </m:sub>
        </m:sSub>
        <m:sSub>
          <m:sSubPr/>
          <m:e>
            <m:r>
              <m:rPr/>
              <w:rPr>
                <w:rFonts w:ascii="Cambria Math" w:hAnsi="Cambria Math" w:eastAsia="宋体"/>
                <w:sz w:val="24"/>
                <w:szCs w:val="24"/>
              </w:rPr>
              <m:t>y</m:t>
            </m:r>
          </m:e>
          <m:sub>
            <m:r>
              <m:rPr/>
              <w:rPr>
                <w:rFonts w:ascii="Cambria Math" w:hAnsi="Cambria Math" w:eastAsia="宋体"/>
                <w:sz w:val="24"/>
                <w:szCs w:val="24"/>
              </w:rPr>
              <m:t>b</m:t>
            </m:r>
          </m:sub>
        </m:sSub>
        <m:sSub>
          <m:sSubPr/>
          <m:e>
            <m:r>
              <m:rPr/>
              <w:rPr>
                <w:rFonts w:ascii="Cambria Math" w:hAnsi="Cambria Math" w:eastAsia="宋体"/>
                <w:sz w:val="24"/>
                <w:szCs w:val="24"/>
              </w:rPr>
              <m:t>z</m:t>
            </m:r>
          </m:e>
          <m:sub>
            <m:r>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eastAsia="宋体" w:cs="Times New Roman"/>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m:t>
        </m:r>
        <m:r>
          <m:rPr/>
          <w:rPr>
            <w:rFonts w:ascii="Cambria Math" w:hAnsi="Cambria Math" w:eastAsia="宋体"/>
            <w:sz w:val="24"/>
            <w:szCs w:val="24"/>
          </w:rPr>
          <m:t>x</m:t>
        </m:r>
        <m:r>
          <m:rPr>
            <m:sty m:val="p"/>
          </m:rPr>
          <w:rPr>
            <w:rFonts w:ascii="Cambria Math" w:hAnsi="Cambria Math" w:eastAsia="宋体"/>
            <w:sz w:val="24"/>
            <w:szCs w:val="24"/>
          </w:rPr>
          <m:t>,</m:t>
        </m:r>
        <m:r>
          <m:rPr/>
          <w:rPr>
            <w:rFonts w:ascii="Cambria Math" w:hAnsi="Cambria Math" w:eastAsia="宋体"/>
            <w:sz w:val="24"/>
            <w:szCs w:val="24"/>
          </w:rPr>
          <m:t>y</m:t>
        </m:r>
        <m:r>
          <m:rPr>
            <m:sty m:val="p"/>
          </m:rPr>
          <w:rPr>
            <w:rFonts w:ascii="Cambria Math" w:hAnsi="Cambria Math" w:eastAsia="宋体"/>
            <w:sz w:val="24"/>
            <w:szCs w:val="24"/>
          </w:rPr>
          <m:t>,</m:t>
        </m:r>
        <m:r>
          <m:rPr/>
          <w:rPr>
            <w:rFonts w:ascii="Cambria Math" w:hAnsi="Cambria Math" w:eastAsia="宋体"/>
            <w:sz w:val="24"/>
            <w:szCs w:val="24"/>
          </w:rPr>
          <m:t>z</m:t>
        </m:r>
        <m:r>
          <m:rPr>
            <m:sty m:val="p"/>
          </m:rPr>
          <w:rPr>
            <w:rFonts w:ascii="Cambria Math" w:hAnsi="Cambria Math" w:eastAsia="宋体"/>
            <w:sz w:val="24"/>
            <w:szCs w:val="24"/>
          </w:rPr>
          <m:t>,</m:t>
        </m:r>
        <m:r>
          <m:rPr/>
          <w:rPr>
            <w:rFonts w:ascii="Cambria Math" w:hAnsi="Cambria Math" w:eastAsia="宋体"/>
            <w:sz w:val="24"/>
            <w:szCs w:val="24"/>
          </w:rPr>
          <m:t>ϕ</m:t>
        </m:r>
        <m:r>
          <m:rPr>
            <m:sty m:val="p"/>
          </m:rPr>
          <w:rPr>
            <w:rFonts w:ascii="Cambria Math" w:hAnsi="Cambria Math" w:eastAsia="宋体"/>
            <w:sz w:val="24"/>
            <w:szCs w:val="24"/>
          </w:rPr>
          <m:t>,</m:t>
        </m:r>
        <m:r>
          <m:rPr/>
          <w:rPr>
            <w:rFonts w:ascii="Cambria Math" w:hAnsi="Cambria Math" w:eastAsia="宋体"/>
            <w:sz w:val="24"/>
            <w:szCs w:val="24"/>
          </w:rPr>
          <m:t>θ</m:t>
        </m:r>
        <m:r>
          <m:rPr>
            <m:sty m:val="p"/>
          </m:rPr>
          <w:rPr>
            <w:rFonts w:ascii="Cambria Math" w:hAnsi="Cambria Math" w:eastAsia="宋体"/>
            <w:sz w:val="24"/>
            <w:szCs w:val="24"/>
          </w:rPr>
          <m:t>,</m:t>
        </m:r>
        <m:r>
          <m:rPr/>
          <w:rPr>
            <w:rFonts w:ascii="Cambria Math" w:hAnsi="Cambria Math" w:eastAsia="宋体"/>
            <w:sz w:val="24"/>
            <w:szCs w:val="24"/>
          </w:rPr>
          <m:t>ψ</m:t>
        </m:r>
        <m:sSup>
          <m:sSupPr/>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eastAsia="宋体" w:cs="Times New Roman"/>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m:t>
        </m:r>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r>
          <m:rPr/>
          <w:rPr>
            <w:rFonts w:ascii="Cambria Math" w:hAnsi="Cambria Math" w:eastAsia="宋体"/>
            <w:sz w:val="24"/>
            <w:szCs w:val="24"/>
          </w:rPr>
          <m:t>w</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q</m:t>
        </m:r>
        <m:r>
          <m:rPr>
            <m:sty m:val="p"/>
          </m:rPr>
          <w:rPr>
            <w:rFonts w:ascii="Cambria Math" w:hAnsi="Cambria Math" w:eastAsia="宋体"/>
            <w:sz w:val="24"/>
            <w:szCs w:val="24"/>
          </w:rPr>
          <m:t>,</m:t>
        </m:r>
        <m:r>
          <m:rPr/>
          <w:rPr>
            <w:rFonts w:ascii="Cambria Math" w:hAnsi="Cambria Math" w:eastAsia="宋体"/>
            <w:sz w:val="24"/>
            <w:szCs w:val="24"/>
          </w:rPr>
          <m:t>r</m:t>
        </m:r>
        <m:sSup>
          <m:sSupPr/>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eastAsia="宋体" w:cs="Times New Roman"/>
          <w:b w:val="0"/>
          <w:i w:val="0"/>
          <w:color w:val="000000"/>
          <w:sz w:val="24"/>
        </w:rPr>
        <w:t>。综合刚体动力学与水动力作用，建立六自由度运动学与动力学基本方程：</w:t>
      </w:r>
    </w:p>
    <w:p w14:paraId="51521183">
      <w:pPr>
        <w:pStyle w:val="10"/>
        <w:spacing w:line="360" w:lineRule="auto"/>
        <w:ind w:left="0" w:firstLine="0" w:firstLineChars="0"/>
        <w:jc w:val="center"/>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τ</m:t>
          </m:r>
          <m:r>
            <m:rPr>
              <m:sty m:val="p"/>
            </m:rPr>
            <w:rPr>
              <w:rFonts w:ascii="Cambria Math" w:hAnsi="Cambria Math" w:eastAsia="宋体"/>
              <w:sz w:val="24"/>
              <w:szCs w:val="24"/>
            </w:rPr>
            <m:t>+</m:t>
          </m:r>
          <m:sSub>
            <m:sSubPr/>
            <m:e>
              <m:r>
                <m:rPr>
                  <m:sty m:val="bi"/>
                </m:rPr>
                <w:rPr>
                  <w:rFonts w:ascii="Cambria Math" w:hAnsi="Cambria Math" w:eastAsia="宋体"/>
                  <w:sz w:val="24"/>
                  <w:szCs w:val="24"/>
                </w:rPr>
                <m:t>τ</m:t>
              </m:r>
            </m:e>
            <m:sub>
              <m:r>
                <m:rPr/>
                <w:rPr>
                  <w:rFonts w:ascii="Cambria Math" w:hAnsi="Cambria Math" w:eastAsia="宋体"/>
                  <w:sz w:val="24"/>
                  <w:szCs w:val="24"/>
                </w:rPr>
                <m:t>d</m:t>
              </m:r>
            </m:sub>
          </m:sSub>
          <m:r>
            <m:rPr>
              <m:sty m:val="p"/>
            </m:rPr>
            <w:rPr>
              <w:rFonts w:ascii="Cambria Math" w:hAnsi="Cambria Math" w:eastAsia="宋体"/>
              <w:sz w:val="24"/>
              <w:szCs w:val="24"/>
            </w:rPr>
            <m:t>(1)</m:t>
          </m:r>
        </m:oMath>
      </m:oMathPara>
    </w:p>
    <w:p w14:paraId="723AE478">
      <w:pPr>
        <w:pStyle w:val="10"/>
        <w:spacing w:line="360" w:lineRule="auto"/>
        <w:ind w:firstLine="480" w:firstLineChars="200"/>
        <w:jc w:val="both"/>
      </w:pPr>
      <w:r>
        <w:rPr>
          <w:rFonts w:ascii="Times New Roman" w:hAnsi="Times New Roman" w:eastAsia="宋体" w:cs="Times New Roman"/>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eastAsia="宋体" w:cs="Times New Roman"/>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m:t>
        </m:r>
        <m:sSub>
          <m:sSubPr/>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sSub>
          <m:sSubPr/>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eastAsia="宋体" w:cs="Times New Roman"/>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eastAsia="宋体" w:cs="Times New Roman"/>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eastAsia="宋体" w:cs="Times New Roman"/>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eastAsia="宋体" w:cs="Times New Roman"/>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eastAsia="宋体" w:cs="Times New Roman"/>
          <w:b w:val="0"/>
          <w:i w:val="0"/>
          <w:color w:val="000000"/>
          <w:sz w:val="24"/>
        </w:rPr>
        <w:t xml:space="preserve"> 为推进器产生的广义控制力与力矩矢量；</w:t>
      </w:r>
      <m:oMath>
        <m:sSub>
          <m:sSubPr/>
          <m:e>
            <m:r>
              <m:rPr>
                <m:sty m:val="bi"/>
              </m:rPr>
              <w:rPr>
                <w:rFonts w:ascii="Cambria Math" w:hAnsi="Cambria Math" w:eastAsia="宋体"/>
                <w:sz w:val="24"/>
                <w:szCs w:val="24"/>
              </w:rPr>
              <m:t>τ</m:t>
            </m:r>
          </m:e>
          <m:sub>
            <m:r>
              <m:rPr/>
              <w:rPr>
                <w:rFonts w:ascii="Cambria Math" w:hAnsi="Cambria Math" w:eastAsia="宋体"/>
                <w:sz w:val="24"/>
                <w:szCs w:val="24"/>
              </w:rPr>
              <m:t>d</m:t>
            </m:r>
          </m:sub>
        </m:sSub>
      </m:oMath>
      <w:r>
        <w:rPr>
          <w:rFonts w:ascii="Times New Roman" w:hAnsi="Times New Roman" w:eastAsia="宋体" w:cs="Times New Roman"/>
          <w:b w:val="0"/>
          <w:i w:val="0"/>
          <w:color w:val="000000"/>
          <w:sz w:val="24"/>
        </w:rPr>
        <w:t xml:space="preserve"> 为外部扰动项。同时，结合已有平台推进器参数资料，建立单推进器控制输入到推力输出的静态映射与必要动态模型。</w:t>
      </w:r>
    </w:p>
    <w:p w14:paraId="12ADEFD2">
      <w:pPr>
        <w:spacing w:before="120" w:beforeLines="50" w:line="240" w:lineRule="auto"/>
        <w:ind w:left="0" w:firstLine="0" w:firstLineChars="0"/>
        <w:jc w:val="center"/>
      </w:pPr>
      <w:r>
        <w:drawing>
          <wp:inline distT="0" distB="0" distL="114300" distR="114300">
            <wp:extent cx="5471795" cy="2200275"/>
            <wp:effectExtent l="0" t="0" r="190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472000" cy="2200696"/>
                    </a:xfrm>
                    <a:prstGeom prst="rect">
                      <a:avLst/>
                    </a:prstGeom>
                  </pic:spPr>
                </pic:pic>
              </a:graphicData>
            </a:graphic>
          </wp:inline>
        </w:drawing>
      </w:r>
    </w:p>
    <w:p w14:paraId="18EF5015">
      <w:pPr>
        <w:spacing w:after="120" w:afterLines="50" w:line="360" w:lineRule="auto"/>
        <w:ind w:left="0" w:firstLine="0" w:firstLineChars="0"/>
        <w:jc w:val="center"/>
      </w:pPr>
      <w:r>
        <w:rPr>
          <w:rFonts w:ascii="Times New Roman" w:hAnsi="Times New Roman" w:eastAsia="宋体" w:cs="Times New Roman"/>
          <w:b/>
          <w:i w:val="0"/>
          <w:color w:val="000000"/>
          <w:sz w:val="21"/>
          <w:highlight w:val="yellow"/>
        </w:rPr>
        <w:t>图 2</w:t>
      </w:r>
      <w:r>
        <w:rPr>
          <w:rFonts w:ascii="Times New Roman" w:hAnsi="Times New Roman" w:eastAsia="宋体" w:cs="Times New Roman"/>
          <w:b/>
          <w:i w:val="0"/>
          <w:color w:val="000000"/>
          <w:sz w:val="21"/>
        </w:rPr>
        <w:t xml:space="preserve">  八推进器水下航行器坐标系定义与推力矢量空间布置示意图</w:t>
      </w:r>
    </w:p>
    <w:p w14:paraId="17061EC9">
      <w:pPr>
        <w:pStyle w:val="10"/>
        <w:spacing w:line="360" w:lineRule="auto"/>
        <w:ind w:firstLine="480" w:firstLineChars="200"/>
        <w:jc w:val="both"/>
      </w:pPr>
      <w:r>
        <w:rPr>
          <w:rFonts w:ascii="Times New Roman" w:hAnsi="Times New Roman" w:eastAsia="宋体" w:cs="Times New Roman"/>
          <w:b/>
          <w:i w:val="0"/>
          <w:color w:val="000000"/>
          <w:sz w:val="24"/>
        </w:rPr>
        <w:t>2） 系统辨识与模型验证方法：</w:t>
      </w:r>
      <w:r>
        <w:rPr>
          <w:rFonts w:ascii="Times New Roman" w:hAnsi="Times New Roman" w:eastAsia="宋体" w:cs="Times New Roman"/>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eastAsia="宋体" w:cs="Times New Roman"/>
          <w:b w:val="0"/>
          <w:i w:val="0"/>
          <w:color w:val="000000"/>
          <w:sz w:val="24"/>
        </w:rPr>
        <w:t xml:space="preserve">。根据动力学方程构造激励输入（推进器推力或广义控制力）与状态输出（线速度、角速度、姿态、深度等动态响应）之间的参数化辨识关系，利用平台参数资料及相关测试/仿真响应数据对未知参数 </w:t>
      </w:r>
      <m:oMath>
        <m:r>
          <m:rPr>
            <m:sty m:val="bi"/>
          </m:rPr>
          <w:rPr>
            <w:rFonts w:ascii="Cambria Math" w:hAnsi="Cambria Math" w:eastAsia="宋体"/>
            <w:sz w:val="24"/>
            <w:szCs w:val="24"/>
          </w:rPr>
          <m:t>θ</m:t>
        </m:r>
      </m:oMath>
      <w:r>
        <w:rPr>
          <w:rFonts w:ascii="Times New Roman" w:hAnsi="Times New Roman" w:eastAsia="宋体" w:cs="Times New Roman"/>
          <w:b w:val="0"/>
          <w:i w:val="0"/>
          <w:color w:val="000000"/>
          <w:sz w:val="24"/>
        </w:rPr>
        <w:t xml:space="preserve"> 进行参数估计与修正。随后，通过代表性动态响应对比模型输出与相关数据，定量评估模型偏差并明确模型适用范围，获得经验证的标称模型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e>
            <m:r>
              <m:rPr>
                <m:sty m:val="bi"/>
              </m:rPr>
              <w:rPr>
                <w:rFonts w:ascii="Cambria Math" w:hAnsi="Cambria Math" w:eastAsia="宋体"/>
                <w:sz w:val="24"/>
                <w:szCs w:val="24"/>
              </w:rPr>
              <m:t>M</m:t>
            </m:r>
          </m:e>
        </m:acc>
        <m:r>
          <m:rPr>
            <m:sty m:val="p"/>
          </m:rPr>
          <w:rPr>
            <w:rFonts w:ascii="Cambria Math" w:hAnsi="Cambria Math" w:eastAsia="宋体"/>
            <w:sz w:val="24"/>
            <w:szCs w:val="24"/>
          </w:rPr>
          <m:t>,</m:t>
        </m:r>
        <m:acc>
          <m:accPr/>
          <m:e>
            <m:r>
              <m:rPr>
                <m:sty m:val="bi"/>
              </m:rPr>
              <w:rPr>
                <w:rFonts w:ascii="Cambria Math" w:hAnsi="Cambria Math" w:eastAsia="宋体"/>
                <w:sz w:val="24"/>
                <w:szCs w:val="24"/>
              </w:rPr>
              <m:t>C</m:t>
            </m:r>
          </m:e>
        </m:acc>
        <m:r>
          <m:rPr>
            <m:sty m:val="p"/>
          </m:rPr>
          <w:rPr>
            <w:rFonts w:ascii="Cambria Math" w:hAnsi="Cambria Math" w:eastAsia="宋体"/>
            <w:sz w:val="24"/>
            <w:szCs w:val="24"/>
          </w:rPr>
          <m:t>,</m:t>
        </m:r>
        <m:acc>
          <m:accPr/>
          <m:e>
            <m:r>
              <m:rPr>
                <m:sty m:val="bi"/>
              </m:rPr>
              <w:rPr>
                <w:rFonts w:ascii="Cambria Math" w:hAnsi="Cambria Math" w:eastAsia="宋体"/>
                <w:sz w:val="24"/>
                <w:szCs w:val="24"/>
              </w:rPr>
              <m:t>D</m:t>
            </m:r>
          </m:e>
        </m:acc>
        <m:r>
          <m:rPr>
            <m:sty m:val="p"/>
          </m:rPr>
          <w:rPr>
            <w:rFonts w:ascii="Cambria Math" w:hAnsi="Cambria Math" w:eastAsia="宋体"/>
            <w:sz w:val="24"/>
            <w:szCs w:val="24"/>
          </w:rPr>
          <m:t>,</m:t>
        </m:r>
        <m:acc>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eastAsia="宋体" w:cs="Times New Roman"/>
          <w:b w:val="0"/>
          <w:i w:val="0"/>
          <w:color w:val="000000"/>
          <w:sz w:val="24"/>
        </w:rPr>
        <w:t>。</w:t>
      </w:r>
    </w:p>
    <w:p w14:paraId="1A337228">
      <w:pPr>
        <w:pStyle w:val="10"/>
        <w:spacing w:line="360" w:lineRule="auto"/>
        <w:ind w:firstLine="480" w:firstLineChars="200"/>
        <w:jc w:val="both"/>
      </w:pPr>
      <w:r>
        <w:rPr>
          <w:rFonts w:ascii="Times New Roman" w:hAnsi="Times New Roman" w:eastAsia="宋体" w:cs="Times New Roman"/>
          <w:b/>
          <w:i w:val="0"/>
          <w:color w:val="000000"/>
          <w:sz w:val="24"/>
        </w:rPr>
        <w:t>3） 基于模型与状态反馈的闭环运动控制方法：</w:t>
      </w:r>
      <w:r>
        <w:rPr>
          <w:rFonts w:ascii="Times New Roman" w:hAnsi="Times New Roman" w:eastAsia="宋体" w:cs="Times New Roman"/>
          <w:b w:val="0"/>
          <w:i w:val="0"/>
          <w:color w:val="000000"/>
          <w:sz w:val="24"/>
        </w:rPr>
        <w:t xml:space="preserve">以经验证的航行器标称模型为基础，设参考运动状态为 </w:t>
      </w:r>
      <m:oMath>
        <m:sSub>
          <m:sSubPr/>
          <m:e>
            <m:r>
              <m:rPr>
                <m:sty m:val="bi"/>
              </m:rPr>
              <w:rPr>
                <w:rFonts w:ascii="Cambria Math" w:hAnsi="Cambria Math" w:eastAsia="宋体"/>
                <w:sz w:val="24"/>
                <w:szCs w:val="24"/>
              </w:rPr>
              <m:t>η</m:t>
            </m:r>
          </m:e>
          <m:sub>
            <m:r>
              <m:rPr/>
              <w:rPr>
                <w:rFonts w:ascii="Cambria Math" w:hAnsi="Cambria Math" w:eastAsia="宋体"/>
                <w:sz w:val="24"/>
                <w:szCs w:val="24"/>
              </w:rPr>
              <m:t>r</m:t>
            </m:r>
          </m:sub>
        </m:sSub>
      </m:oMath>
      <w:r>
        <w:rPr>
          <w:rFonts w:ascii="Times New Roman" w:hAnsi="Times New Roman" w:eastAsia="宋体" w:cs="Times New Roman"/>
          <w:b w:val="0"/>
          <w:i w:val="0"/>
          <w:color w:val="000000"/>
          <w:sz w:val="24"/>
        </w:rPr>
        <w:t xml:space="preserve"> 与 </w:t>
      </w:r>
      <m:oMath>
        <m:sSub>
          <m:sSubPr/>
          <m:e>
            <m:r>
              <m:rPr>
                <m:sty m:val="bi"/>
              </m:rPr>
              <w:rPr>
                <w:rFonts w:ascii="Cambria Math" w:hAnsi="Cambria Math" w:eastAsia="宋体"/>
                <w:sz w:val="24"/>
                <w:szCs w:val="24"/>
              </w:rPr>
              <m:t>ν</m:t>
            </m:r>
          </m:e>
          <m:sub>
            <m:r>
              <m:rPr/>
              <w:rPr>
                <w:rFonts w:ascii="Cambria Math" w:hAnsi="Cambria Math" w:eastAsia="宋体"/>
                <w:sz w:val="24"/>
                <w:szCs w:val="24"/>
              </w:rPr>
              <m:t>r</m:t>
            </m:r>
          </m:sub>
        </m:sSub>
      </m:oMath>
      <w:r>
        <w:rPr>
          <w:rFonts w:ascii="Times New Roman" w:hAnsi="Times New Roman" w:eastAsia="宋体" w:cs="Times New Roman"/>
          <w:b w:val="0"/>
          <w:i w:val="0"/>
          <w:color w:val="000000"/>
          <w:sz w:val="24"/>
        </w:rPr>
        <w:t xml:space="preserve">，定义姿态、深度与航向等状态跟踪误差 </w:t>
      </w:r>
      <m:oMath>
        <m:sSub>
          <m:sSubPr/>
          <m:e>
            <m:r>
              <m:rPr>
                <m:sty m:val="bi"/>
              </m:rPr>
              <w:rPr>
                <w:rFonts w:ascii="Cambria Math" w:hAnsi="Cambria Math" w:eastAsia="宋体"/>
                <w:sz w:val="24"/>
                <w:szCs w:val="24"/>
              </w:rPr>
              <m:t>e</m:t>
            </m:r>
          </m:e>
          <m:sub>
            <m:r>
              <m:rPr/>
              <w:rPr>
                <w:rFonts w:ascii="Cambria Math" w:hAnsi="Cambria Math" w:eastAsia="宋体"/>
                <w:sz w:val="24"/>
                <w:szCs w:val="24"/>
              </w:rPr>
              <m:t>η</m:t>
            </m:r>
          </m:sub>
        </m:sSub>
        <m:r>
          <m:rPr>
            <m:sty m:val="p"/>
          </m:rPr>
          <w:rPr>
            <w:rFonts w:ascii="Cambria Math" w:hAnsi="Cambria Math" w:eastAsia="宋体"/>
            <w:sz w:val="24"/>
            <w:szCs w:val="24"/>
          </w:rPr>
          <m:t>=</m:t>
        </m:r>
        <m:sSub>
          <m:sSubPr/>
          <m:e>
            <m:r>
              <m:rPr>
                <m:sty m:val="bi"/>
              </m:rPr>
              <w:rPr>
                <w:rFonts w:ascii="Cambria Math" w:hAnsi="Cambria Math" w:eastAsia="宋体"/>
                <w:sz w:val="24"/>
                <w:szCs w:val="24"/>
              </w:rPr>
              <m:t>η</m:t>
            </m:r>
          </m:e>
          <m:sub>
            <m:r>
              <m:rPr/>
              <w:rPr>
                <w:rFonts w:ascii="Cambria Math" w:hAnsi="Cambria Math" w:eastAsia="宋体"/>
                <w:sz w:val="24"/>
                <w:szCs w:val="24"/>
              </w:rPr>
              <m:t>r</m:t>
            </m:r>
          </m:sub>
        </m:sSub>
        <m:r>
          <m:rPr>
            <m:sty m:val="p"/>
          </m:rPr>
          <w:rPr>
            <w:rFonts w:ascii="Cambria Math" w:hAnsi="Cambria Math" w:eastAsia="宋体"/>
            <w:sz w:val="24"/>
            <w:szCs w:val="24"/>
          </w:rPr>
          <m:t>−</m:t>
        </m:r>
        <m:r>
          <m:rPr>
            <m:sty m:val="bi"/>
          </m:rPr>
          <w:rPr>
            <w:rFonts w:ascii="Cambria Math" w:hAnsi="Cambria Math" w:eastAsia="宋体"/>
            <w:sz w:val="24"/>
            <w:szCs w:val="24"/>
          </w:rPr>
          <m:t>η</m:t>
        </m:r>
      </m:oMath>
      <w:r>
        <w:rPr>
          <w:rFonts w:ascii="Times New Roman" w:hAnsi="Times New Roman" w:eastAsia="宋体" w:cs="Times New Roman"/>
          <w:b w:val="0"/>
          <w:i w:val="0"/>
          <w:color w:val="000000"/>
          <w:sz w:val="24"/>
        </w:rPr>
        <w:t xml:space="preserve"> 及速度误差 </w:t>
      </w:r>
      <m:oMath>
        <m:sSub>
          <m:sSubPr/>
          <m:e>
            <m:r>
              <m:rPr>
                <m:sty m:val="bi"/>
              </m:rPr>
              <w:rPr>
                <w:rFonts w:ascii="Cambria Math" w:hAnsi="Cambria Math" w:eastAsia="宋体"/>
                <w:sz w:val="24"/>
                <w:szCs w:val="24"/>
              </w:rPr>
              <m:t>e</m:t>
            </m:r>
          </m:e>
          <m:sub>
            <m:r>
              <m:rPr/>
              <w:rPr>
                <w:rFonts w:ascii="Cambria Math" w:hAnsi="Cambria Math" w:eastAsia="宋体"/>
                <w:sz w:val="24"/>
                <w:szCs w:val="24"/>
              </w:rPr>
              <m:t>ν</m:t>
            </m:r>
          </m:sub>
        </m:sSub>
        <m:r>
          <m:rPr>
            <m:sty m:val="p"/>
          </m:rPr>
          <w:rPr>
            <w:rFonts w:ascii="Cambria Math" w:hAnsi="Cambria Math" w:eastAsia="宋体"/>
            <w:sz w:val="24"/>
            <w:szCs w:val="24"/>
          </w:rPr>
          <m:t>=</m:t>
        </m:r>
        <m:sSub>
          <m:sSubPr/>
          <m:e>
            <m:r>
              <m:rPr>
                <m:sty m:val="bi"/>
              </m:rPr>
              <w:rPr>
                <w:rFonts w:ascii="Cambria Math" w:hAnsi="Cambria Math" w:eastAsia="宋体"/>
                <w:sz w:val="24"/>
                <w:szCs w:val="24"/>
              </w:rPr>
              <m:t>ν</m:t>
            </m:r>
          </m:e>
          <m:sub>
            <m:r>
              <m:rPr/>
              <w:rPr>
                <w:rFonts w:ascii="Cambria Math" w:hAnsi="Cambria Math" w:eastAsia="宋体"/>
                <w:sz w:val="24"/>
                <w:szCs w:val="24"/>
              </w:rPr>
              <m:t>r</m:t>
            </m:r>
          </m:sub>
        </m:sSub>
        <m:r>
          <m:rPr>
            <m:sty m:val="p"/>
          </m:rPr>
          <w:rPr>
            <w:rFonts w:ascii="Cambria Math" w:hAnsi="Cambria Math" w:eastAsia="宋体"/>
            <w:sz w:val="24"/>
            <w:szCs w:val="24"/>
          </w:rPr>
          <m:t>−</m:t>
        </m:r>
        <m:r>
          <m:rPr>
            <m:sty m:val="bi"/>
          </m:rPr>
          <w:rPr>
            <w:rFonts w:ascii="Cambria Math" w:hAnsi="Cambria Math" w:eastAsia="宋体"/>
            <w:sz w:val="24"/>
            <w:szCs w:val="24"/>
          </w:rPr>
          <m:t>ν</m:t>
        </m:r>
      </m:oMath>
      <w:r>
        <w:rPr>
          <w:rFonts w:ascii="Times New Roman" w:hAnsi="Times New Roman" w:eastAsia="宋体" w:cs="Times New Roman"/>
          <w:b w:val="0"/>
          <w:i w:val="0"/>
          <w:color w:val="000000"/>
          <w:sz w:val="24"/>
        </w:rPr>
        <w:t>。结合标称模型信息（</w:t>
      </w:r>
      <m:oMath>
        <m:acc>
          <m:accPr/>
          <m:e>
            <m:r>
              <m:rPr>
                <m:sty m:val="bi"/>
              </m:rPr>
              <w:rPr>
                <w:rFonts w:ascii="Cambria Math" w:hAnsi="Cambria Math" w:eastAsia="宋体"/>
                <w:sz w:val="24"/>
                <w:szCs w:val="24"/>
              </w:rPr>
              <m:t>M</m:t>
            </m:r>
          </m:e>
        </m:acc>
        <m:r>
          <m:rPr>
            <m:sty m:val="p"/>
          </m:rPr>
          <w:rPr>
            <w:rFonts w:ascii="Cambria Math" w:hAnsi="Cambria Math" w:eastAsia="宋体"/>
            <w:sz w:val="24"/>
            <w:szCs w:val="24"/>
          </w:rPr>
          <m:t>,</m:t>
        </m:r>
        <m:acc>
          <m:accPr/>
          <m:e>
            <m:r>
              <m:rPr>
                <m:sty m:val="bi"/>
              </m:rPr>
              <w:rPr>
                <w:rFonts w:ascii="Cambria Math" w:hAnsi="Cambria Math" w:eastAsia="宋体"/>
                <w:sz w:val="24"/>
                <w:szCs w:val="24"/>
              </w:rPr>
              <m:t>C</m:t>
            </m:r>
          </m:e>
        </m:acc>
        <m:r>
          <m:rPr>
            <m:sty m:val="p"/>
          </m:rPr>
          <w:rPr>
            <w:rFonts w:ascii="Cambria Math" w:hAnsi="Cambria Math" w:eastAsia="宋体"/>
            <w:sz w:val="24"/>
            <w:szCs w:val="24"/>
          </w:rPr>
          <m:t>,</m:t>
        </m:r>
        <m:acc>
          <m:accPr/>
          <m:e>
            <m:r>
              <m:rPr>
                <m:sty m:val="bi"/>
              </m:rPr>
              <w:rPr>
                <w:rFonts w:ascii="Cambria Math" w:hAnsi="Cambria Math" w:eastAsia="宋体"/>
                <w:sz w:val="24"/>
                <w:szCs w:val="24"/>
              </w:rPr>
              <m:t>D</m:t>
            </m:r>
          </m:e>
        </m:acc>
        <m:r>
          <m:rPr>
            <m:sty m:val="p"/>
          </m:rPr>
          <w:rPr>
            <w:rFonts w:ascii="Cambria Math" w:hAnsi="Cambria Math" w:eastAsia="宋体"/>
            <w:sz w:val="24"/>
            <w:szCs w:val="24"/>
          </w:rPr>
          <m:t>,</m:t>
        </m:r>
        <m:acc>
          <m:accPr/>
          <m:e>
            <m:r>
              <m:rPr>
                <m:sty m:val="bi"/>
              </m:rPr>
              <w:rPr>
                <w:rFonts w:ascii="Cambria Math" w:hAnsi="Cambria Math" w:eastAsia="宋体"/>
                <w:sz w:val="24"/>
                <w:szCs w:val="24"/>
              </w:rPr>
              <m:t>g</m:t>
            </m:r>
          </m:e>
        </m:acc>
      </m:oMath>
      <w:r>
        <w:rPr>
          <w:rFonts w:ascii="Times New Roman" w:hAnsi="Times New Roman" w:eastAsia="宋体" w:cs="Times New Roman"/>
          <w:b w:val="0"/>
          <w:i w:val="0"/>
          <w:color w:val="000000"/>
          <w:sz w:val="24"/>
        </w:rPr>
        <w:t xml:space="preserve">）与实时状态反馈，设计闭环运动控制律计算期望广义力和力矩 </w:t>
      </w:r>
      <m:oMath>
        <m:sSub>
          <m:sSubPr/>
          <m:e>
            <m:r>
              <m:rPr>
                <m:sty m:val="bi"/>
              </m:rPr>
              <w:rPr>
                <w:rFonts w:ascii="Cambria Math" w:hAnsi="Cambria Math" w:eastAsia="宋体"/>
                <w:sz w:val="24"/>
                <w:szCs w:val="24"/>
              </w:rPr>
              <m:t>τ</m:t>
            </m:r>
          </m:e>
          <m:sub>
            <m:r>
              <m:rPr/>
              <w:rPr>
                <w:rFonts w:ascii="Cambria Math" w:hAnsi="Cambria Math" w:eastAsia="宋体"/>
                <w:sz w:val="24"/>
                <w:szCs w:val="24"/>
              </w:rPr>
              <m:t>c</m:t>
            </m:r>
          </m:sub>
        </m:sSub>
        <m:r>
          <m:rPr>
            <m:sty m:val="p"/>
          </m:rPr>
          <w:rPr>
            <w:rFonts w:ascii="Cambria Math" w:hAnsi="Cambria Math" w:eastAsia="宋体"/>
            <w:sz w:val="24"/>
            <w:szCs w:val="24"/>
          </w:rPr>
          <m:t>∈</m:t>
        </m:r>
        <m:sSup>
          <m:sSupPr/>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eastAsia="宋体" w:cs="Times New Roman"/>
          <w:b w:val="0"/>
          <w:i w:val="0"/>
          <w:color w:val="000000"/>
          <w:sz w:val="24"/>
        </w:rPr>
        <w:t>：</w:t>
      </w:r>
    </w:p>
    <w:p w14:paraId="19A286EA">
      <w:pPr>
        <w:pStyle w:val="10"/>
        <w:spacing w:line="360" w:lineRule="auto"/>
        <w:ind w:left="0" w:firstLine="0" w:firstLineChars="0"/>
        <w:jc w:val="center"/>
      </w:pPr>
      <m:oMathPara>
        <m:oMath>
          <m:sSub>
            <m:sSubPr/>
            <m:e>
              <m:r>
                <m:rPr>
                  <m:sty m:val="bi"/>
                </m:rPr>
                <w:rPr>
                  <w:rFonts w:ascii="Cambria Math" w:hAnsi="Cambria Math" w:eastAsia="宋体"/>
                  <w:sz w:val="24"/>
                  <w:szCs w:val="24"/>
                </w:rPr>
                <m:t>τ</m:t>
              </m:r>
            </m:e>
            <m:sub>
              <m:r>
                <m:rPr/>
                <w:rPr>
                  <w:rFonts w:ascii="Cambria Math" w:hAnsi="Cambria Math" w:eastAsia="宋体"/>
                  <w:sz w:val="24"/>
                  <w:szCs w:val="24"/>
                </w:rPr>
                <m:t>c</m:t>
              </m:r>
            </m:sub>
          </m:sSub>
          <m:r>
            <m:rPr>
              <m:sty m:val="p"/>
            </m:rPr>
            <w:rPr>
              <w:rFonts w:ascii="Cambria Math" w:hAnsi="Cambria Math" w:eastAsia="宋体"/>
              <w:sz w:val="24"/>
              <w:szCs w:val="24"/>
            </w:rPr>
            <m:t>=</m:t>
          </m:r>
          <m:sSub>
            <m:sSubPr/>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e>
              <m:r>
                <m:rPr>
                  <m:sty m:val="bi"/>
                </m:rPr>
                <w:rPr>
                  <w:rFonts w:ascii="Cambria Math" w:hAnsi="Cambria Math" w:eastAsia="宋体"/>
                  <w:sz w:val="24"/>
                  <w:szCs w:val="24"/>
                </w:rPr>
                <m:t>M</m:t>
              </m:r>
            </m:e>
          </m:acc>
          <m:r>
            <m:rPr>
              <m:sty m:val="p"/>
            </m:rPr>
            <w:rPr>
              <w:rFonts w:ascii="Cambria Math" w:hAnsi="Cambria Math" w:eastAsia="宋体"/>
              <w:sz w:val="24"/>
              <w:szCs w:val="24"/>
            </w:rPr>
            <m:t>,</m:t>
          </m:r>
          <m:acc>
            <m:accPr/>
            <m:e>
              <m:r>
                <m:rPr>
                  <m:sty m:val="bi"/>
                </m:rPr>
                <w:rPr>
                  <w:rFonts w:ascii="Cambria Math" w:hAnsi="Cambria Math" w:eastAsia="宋体"/>
                  <w:sz w:val="24"/>
                  <w:szCs w:val="24"/>
                </w:rPr>
                <m:t>C</m:t>
              </m:r>
            </m:e>
          </m:acc>
          <m:r>
            <m:rPr>
              <m:sty m:val="p"/>
            </m:rPr>
            <w:rPr>
              <w:rFonts w:ascii="Cambria Math" w:hAnsi="Cambria Math" w:eastAsia="宋体"/>
              <w:sz w:val="24"/>
              <w:szCs w:val="24"/>
            </w:rPr>
            <m:t>,</m:t>
          </m:r>
          <m:acc>
            <m:accPr/>
            <m:e>
              <m:r>
                <m:rPr>
                  <m:sty m:val="bi"/>
                </m:rPr>
                <w:rPr>
                  <w:rFonts w:ascii="Cambria Math" w:hAnsi="Cambria Math" w:eastAsia="宋体"/>
                  <w:sz w:val="24"/>
                  <w:szCs w:val="24"/>
                </w:rPr>
                <m:t>D</m:t>
              </m:r>
            </m:e>
          </m:acc>
          <m:r>
            <m:rPr>
              <m:sty m:val="p"/>
            </m:rPr>
            <w:rPr>
              <w:rFonts w:ascii="Cambria Math" w:hAnsi="Cambria Math" w:eastAsia="宋体"/>
              <w:sz w:val="24"/>
              <w:szCs w:val="24"/>
            </w:rPr>
            <m:t>,</m:t>
          </m:r>
          <m:acc>
            <m:accPr/>
            <m:e>
              <m:r>
                <m:rPr>
                  <m:sty m:val="bi"/>
                </m:rPr>
                <w:rPr>
                  <w:rFonts w:ascii="Cambria Math" w:hAnsi="Cambria Math" w:eastAsia="宋体"/>
                  <w:sz w:val="24"/>
                  <w:szCs w:val="24"/>
                </w:rPr>
                <m:t>g</m:t>
              </m:r>
            </m:e>
          </m:acc>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sSubPr/>
            <m:e>
              <m:r>
                <m:rPr>
                  <m:sty m:val="bi"/>
                </m:rPr>
                <w:rPr>
                  <w:rFonts w:ascii="Cambria Math" w:hAnsi="Cambria Math" w:eastAsia="宋体"/>
                  <w:sz w:val="24"/>
                  <w:szCs w:val="24"/>
                </w:rPr>
                <m:t>η</m:t>
              </m:r>
            </m:e>
            <m:sub>
              <m:r>
                <m:rPr/>
                <w:rPr>
                  <w:rFonts w:ascii="Cambria Math" w:hAnsi="Cambria Math" w:eastAsia="宋体"/>
                  <w:sz w:val="24"/>
                  <w:szCs w:val="24"/>
                </w:rPr>
                <m:t>r</m:t>
              </m:r>
            </m:sub>
          </m:sSub>
          <m:r>
            <m:rPr>
              <m:sty m:val="p"/>
            </m:rPr>
            <w:rPr>
              <w:rFonts w:ascii="Cambria Math" w:hAnsi="Cambria Math" w:eastAsia="宋体"/>
              <w:sz w:val="24"/>
              <w:szCs w:val="24"/>
            </w:rPr>
            <m:t>,</m:t>
          </m:r>
          <m:sSub>
            <m:sSubPr/>
            <m:e>
              <m:r>
                <m:rPr>
                  <m:sty m:val="bi"/>
                </m:rPr>
                <w:rPr>
                  <w:rFonts w:ascii="Cambria Math" w:hAnsi="Cambria Math" w:eastAsia="宋体"/>
                  <w:sz w:val="24"/>
                  <w:szCs w:val="24"/>
                </w:rPr>
                <m:t>ν</m:t>
              </m:r>
            </m:e>
            <m:sub>
              <m:r>
                <m:rPr/>
                <w:rPr>
                  <w:rFonts w:ascii="Cambria Math" w:hAnsi="Cambria Math" w:eastAsia="宋体"/>
                  <w:sz w:val="24"/>
                  <w:szCs w:val="24"/>
                </w:rPr>
                <m:t>r</m:t>
              </m:r>
            </m:sub>
          </m:sSub>
          <m:r>
            <m:rPr>
              <m:sty m:val="p"/>
            </m:rPr>
            <w:rPr>
              <w:rFonts w:ascii="Cambria Math" w:hAnsi="Cambria Math" w:eastAsia="宋体"/>
              <w:sz w:val="24"/>
              <w:szCs w:val="24"/>
            </w:rPr>
            <m:t>) +</m:t>
          </m:r>
          <m:sSub>
            <m:sSubPr/>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sSubPr/>
            <m:e>
              <m:r>
                <m:rPr>
                  <m:sty m:val="bi"/>
                </m:rPr>
                <w:rPr>
                  <w:rFonts w:ascii="Cambria Math" w:hAnsi="Cambria Math" w:eastAsia="宋体"/>
                  <w:sz w:val="24"/>
                  <w:szCs w:val="24"/>
                </w:rPr>
                <m:t>e</m:t>
              </m:r>
            </m:e>
            <m:sub>
              <m:r>
                <m:rPr/>
                <w:rPr>
                  <w:rFonts w:ascii="Cambria Math" w:hAnsi="Cambria Math" w:eastAsia="宋体"/>
                  <w:sz w:val="24"/>
                  <w:szCs w:val="24"/>
                </w:rPr>
                <m:t>η</m:t>
              </m:r>
            </m:sub>
          </m:sSub>
          <m:r>
            <m:rPr>
              <m:sty m:val="p"/>
            </m:rPr>
            <w:rPr>
              <w:rFonts w:ascii="Cambria Math" w:hAnsi="Cambria Math" w:eastAsia="宋体"/>
              <w:sz w:val="24"/>
              <w:szCs w:val="24"/>
            </w:rPr>
            <m:t>,</m:t>
          </m:r>
          <m:sSub>
            <m:sSubPr/>
            <m:e>
              <m:r>
                <m:rPr>
                  <m:sty m:val="bi"/>
                </m:rPr>
                <w:rPr>
                  <w:rFonts w:ascii="Cambria Math" w:hAnsi="Cambria Math" w:eastAsia="宋体"/>
                  <w:sz w:val="24"/>
                  <w:szCs w:val="24"/>
                </w:rPr>
                <m:t>e</m:t>
              </m:r>
            </m:e>
            <m:sub>
              <m:r>
                <m:rPr/>
                <w:rPr>
                  <w:rFonts w:ascii="Cambria Math" w:hAnsi="Cambria Math" w:eastAsia="宋体"/>
                  <w:sz w:val="24"/>
                  <w:szCs w:val="24"/>
                </w:rPr>
                <m:t>ν</m:t>
              </m:r>
            </m:sub>
          </m:sSub>
          <m:r>
            <m:rPr>
              <m:sty m:val="p"/>
            </m:rPr>
            <w:rPr>
              <w:rFonts w:ascii="Cambria Math" w:hAnsi="Cambria Math" w:eastAsia="宋体"/>
              <w:sz w:val="24"/>
              <w:szCs w:val="24"/>
            </w:rPr>
            <m:t>)      (2)</m:t>
          </m:r>
        </m:oMath>
      </m:oMathPara>
    </w:p>
    <w:p w14:paraId="6706D1E0">
      <w:pPr>
        <w:pStyle w:val="10"/>
        <w:spacing w:line="360" w:lineRule="auto"/>
        <w:ind w:firstLine="480" w:firstLineChars="200"/>
        <w:jc w:val="both"/>
      </w:pPr>
      <w:r>
        <w:rPr>
          <w:rFonts w:ascii="Times New Roman" w:hAnsi="Times New Roman" w:eastAsia="宋体" w:cs="Times New Roman"/>
          <w:b w:val="0"/>
          <w:i w:val="0"/>
          <w:color w:val="000000"/>
          <w:sz w:val="24"/>
        </w:rPr>
        <w:t xml:space="preserve">该通用结构将基于航行器模型的动态特性补偿项 </w:t>
      </w:r>
      <m:oMath>
        <m:sSub>
          <m:sSubPr/>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eastAsia="宋体" w:cs="Times New Roman"/>
          <w:b w:val="0"/>
          <w:i w:val="0"/>
          <w:color w:val="000000"/>
          <w:sz w:val="24"/>
        </w:rPr>
        <w:t xml:space="preserve"> 与基于状态误差的反馈控制项 </w:t>
      </w:r>
      <m:oMath>
        <m:sSub>
          <m:sSubPr/>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eastAsia="宋体" w:cs="Times New Roman"/>
          <w:b w:val="0"/>
          <w:i w:val="0"/>
          <w:color w:val="000000"/>
          <w:sz w:val="24"/>
        </w:rPr>
        <w:t xml:space="preserve"> 相结合，可根据后续模型验证结果与控制需求灵活设计具体的模型前馈补偿、反馈线性化或增量动态逆反馈形式，开展多工况对比与鲁棒性分析。</w:t>
      </w:r>
    </w:p>
    <w:p w14:paraId="6CED2AA7">
      <w:pPr>
        <w:pStyle w:val="10"/>
        <w:spacing w:line="360" w:lineRule="auto"/>
        <w:ind w:firstLine="480" w:firstLineChars="200"/>
        <w:jc w:val="both"/>
      </w:pPr>
      <w:r>
        <w:rPr>
          <w:rFonts w:ascii="Times New Roman" w:hAnsi="Times New Roman" w:eastAsia="宋体" w:cs="Times New Roman"/>
          <w:b/>
          <w:i w:val="0"/>
          <w:color w:val="000000"/>
          <w:sz w:val="24"/>
        </w:rPr>
        <w:t>4） 八推进器控制分配方法：</w:t>
      </w:r>
      <w:r>
        <w:rPr>
          <w:rFonts w:ascii="Times New Roman" w:hAnsi="Times New Roman" w:eastAsia="宋体" w:cs="Times New Roman"/>
          <w:b w:val="0"/>
          <w:i w:val="0"/>
          <w:color w:val="000000"/>
          <w:sz w:val="24"/>
          <w:highlight w:val="yellow"/>
        </w:rPr>
        <w:t>如图 2(b) 所示</w:t>
      </w:r>
      <w:r>
        <w:rPr>
          <w:rFonts w:ascii="Times New Roman" w:hAnsi="Times New Roman" w:eastAsia="宋体" w:cs="Times New Roman"/>
          <w:b w:val="0"/>
          <w:i w:val="0"/>
          <w:color w:val="000000"/>
          <w:sz w:val="24"/>
        </w:rPr>
        <w:t>，已有平台包含水平面 4 台矢量倾斜推进器（</w:t>
      </w:r>
      <m:oMath>
        <m:sSub>
          <m:sSubPr/>
          <m:e>
            <m:r>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m:t>
        </m:r>
        <m:sSub>
          <m:sSubPr/>
          <m:e>
            <m:r>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eastAsia="宋体" w:cs="Times New Roman"/>
          <w:b w:val="0"/>
          <w:i w:val="0"/>
          <w:color w:val="000000"/>
          <w:sz w:val="24"/>
        </w:rPr>
        <w:t>）与垂直面 4 台垂向对称推进器（</w:t>
      </w:r>
      <m:oMath>
        <m:sSub>
          <m:sSubPr/>
          <m:e>
            <m:r>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m:t>
        </m:r>
        <m:sSub>
          <m:sSubPr/>
          <m:e>
            <m:r>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eastAsia="宋体" w:cs="Times New Roman"/>
          <w:b w:val="0"/>
          <w:i w:val="0"/>
          <w:color w:val="000000"/>
          <w:sz w:val="24"/>
        </w:rPr>
        <w:t xml:space="preserve">）。根据第 </w:t>
      </w:r>
      <m:oMath>
        <m:r>
          <m:rPr/>
          <w:rPr>
            <w:rFonts w:ascii="Cambria Math" w:hAnsi="Cambria Math" w:eastAsia="宋体"/>
            <w:sz w:val="24"/>
            <w:szCs w:val="24"/>
          </w:rPr>
          <m:t>i</m:t>
        </m:r>
      </m:oMath>
      <w:r>
        <w:rPr>
          <w:rFonts w:ascii="Times New Roman" w:hAnsi="Times New Roman" w:eastAsia="宋体" w:cs="Times New Roman"/>
          <w:b w:val="0"/>
          <w:i w:val="0"/>
          <w:color w:val="000000"/>
          <w:sz w:val="24"/>
        </w:rPr>
        <w:t xml:space="preserve"> 个推进器（</w:t>
      </w:r>
      <m:oMath>
        <m:r>
          <m:rPr/>
          <w:rPr>
            <w:rFonts w:ascii="Cambria Math" w:hAnsi="Cambria Math" w:eastAsia="宋体"/>
            <w:sz w:val="24"/>
            <w:szCs w:val="24"/>
          </w:rPr>
          <m:t>i</m:t>
        </m:r>
        <m:r>
          <m:rPr>
            <m:sty m:val="p"/>
          </m:rPr>
          <w:rPr>
            <w:rFonts w:ascii="Cambria Math" w:hAnsi="Cambria Math" w:eastAsia="宋体"/>
            <w:sz w:val="24"/>
            <w:szCs w:val="24"/>
          </w:rPr>
          <m:t>= 1, …, 8</m:t>
        </m:r>
      </m:oMath>
      <w:r>
        <w:rPr>
          <w:rFonts w:ascii="Times New Roman" w:hAnsi="Times New Roman" w:eastAsia="宋体" w:cs="Times New Roman"/>
          <w:b w:val="0"/>
          <w:i w:val="0"/>
          <w:color w:val="000000"/>
          <w:sz w:val="24"/>
        </w:rPr>
        <w:t xml:space="preserve">）在附体系下的安装位置矢量 </w:t>
      </w:r>
      <m:oMath>
        <m:sSub>
          <m:sSubPr/>
          <m:e>
            <m:r>
              <m:rPr>
                <m:sty m:val="bi"/>
              </m:rPr>
              <w:rPr>
                <w:rFonts w:ascii="Cambria Math" w:hAnsi="Cambria Math" w:eastAsia="宋体"/>
                <w:sz w:val="24"/>
                <w:szCs w:val="24"/>
              </w:rPr>
              <m:t>r</m:t>
            </m:r>
          </m:e>
          <m:sub>
            <m:r>
              <m:rPr/>
              <w:rPr>
                <w:rFonts w:ascii="Cambria Math" w:hAnsi="Cambria Math" w:eastAsia="宋体"/>
                <w:sz w:val="24"/>
                <w:szCs w:val="24"/>
              </w:rPr>
              <m:t>i</m:t>
            </m:r>
          </m:sub>
        </m:sSub>
        <m:r>
          <m:rPr>
            <m:sty m:val="p"/>
          </m:rPr>
          <w:rPr>
            <w:rFonts w:ascii="Cambria Math" w:hAnsi="Cambria Math" w:eastAsia="宋体"/>
            <w:sz w:val="24"/>
            <w:szCs w:val="24"/>
          </w:rPr>
          <m:t>∈</m:t>
        </m:r>
        <m:sSup>
          <m:sSupPr/>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eastAsia="宋体" w:cs="Times New Roman"/>
          <w:b w:val="0"/>
          <w:i w:val="0"/>
          <w:color w:val="000000"/>
          <w:sz w:val="24"/>
        </w:rPr>
        <w:t xml:space="preserve"> 与推力方向单位矢量 </w:t>
      </w:r>
      <m:oMath>
        <m:sSub>
          <m:sSubPr/>
          <m:e>
            <m:r>
              <m:rPr>
                <m:sty m:val="bi"/>
              </m:rPr>
              <w:rPr>
                <w:rFonts w:ascii="Cambria Math" w:hAnsi="Cambria Math" w:eastAsia="宋体"/>
                <w:sz w:val="24"/>
                <w:szCs w:val="24"/>
              </w:rPr>
              <m:t>d</m:t>
            </m:r>
          </m:e>
          <m:sub>
            <m:r>
              <m:rPr/>
              <w:rPr>
                <w:rFonts w:ascii="Cambria Math" w:hAnsi="Cambria Math" w:eastAsia="宋体"/>
                <w:sz w:val="24"/>
                <w:szCs w:val="24"/>
              </w:rPr>
              <m:t>i</m:t>
            </m:r>
          </m:sub>
        </m:sSub>
        <m:r>
          <m:rPr>
            <m:sty m:val="p"/>
          </m:rPr>
          <w:rPr>
            <w:rFonts w:ascii="Cambria Math" w:hAnsi="Cambria Math" w:eastAsia="宋体"/>
            <w:sz w:val="24"/>
            <w:szCs w:val="24"/>
          </w:rPr>
          <m:t>∈</m:t>
        </m:r>
        <m:sSup>
          <m:sSupPr/>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eastAsia="宋体" w:cs="Times New Roman"/>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eastAsia="宋体" w:cs="Times New Roman"/>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m:t>
        </m:r>
        <m:sSub>
          <m:sSubPr/>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m:t>
        </m:r>
        <m:sSub>
          <m:sSubPr/>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m:t>
        </m:r>
        <m:sSub>
          <m:sSubPr/>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m:t>
        </m:r>
        <m:sSup>
          <m:sSupPr/>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eastAsia="宋体" w:cs="Times New Roman"/>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m:t>
        </m:r>
        <m:sSub>
          <m:sSubPr/>
          <m:e>
            <m:r>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sSubPr/>
          <m:e>
            <m:r>
              <m:rPr/>
              <w:rPr>
                <w:rFonts w:ascii="Cambria Math" w:hAnsi="Cambria Math" w:eastAsia="宋体"/>
                <w:sz w:val="24"/>
                <w:szCs w:val="24"/>
              </w:rPr>
              <m:t>T</m:t>
            </m:r>
          </m:e>
          <m:sub>
            <m:r>
              <m:rPr>
                <m:sty m:val="p"/>
              </m:rPr>
              <w:rPr>
                <w:rFonts w:ascii="Cambria Math" w:hAnsi="Cambria Math" w:eastAsia="宋体"/>
                <w:sz w:val="24"/>
                <w:szCs w:val="24"/>
              </w:rPr>
              <m:t>8</m:t>
            </m:r>
          </m:sub>
        </m:sSub>
        <m:sSup>
          <m:sSupPr/>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sSupPr/>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eastAsia="宋体" w:cs="Times New Roman"/>
          <w:b w:val="0"/>
          <w:i w:val="0"/>
          <w:color w:val="000000"/>
          <w:sz w:val="24"/>
        </w:rPr>
        <w:t>：</w:t>
      </w:r>
    </w:p>
    <w:p w14:paraId="2B9ADE8A">
      <w:pPr>
        <w:pStyle w:val="10"/>
        <w:spacing w:line="360" w:lineRule="auto"/>
        <w:ind w:left="0" w:firstLine="0" w:firstLineChars="0"/>
        <w:jc w:val="center"/>
      </w:pPr>
      <m:oMathPara>
        <m:oMath>
          <m:sSub>
            <m:sSubPr/>
            <m:e>
              <m:r>
                <m:rPr>
                  <m:sty m:val="bi"/>
                </m:rPr>
                <w:rPr>
                  <w:rFonts w:ascii="Cambria Math" w:hAnsi="Cambria Math" w:eastAsia="宋体"/>
                  <w:sz w:val="24"/>
                  <w:szCs w:val="24"/>
                </w:rPr>
                <m:t>b</m:t>
              </m:r>
            </m:e>
            <m:sub>
              <m:r>
                <m:rPr/>
                <w:rPr>
                  <w:rFonts w:ascii="Cambria Math" w:hAnsi="Cambria Math" w:eastAsia="宋体"/>
                  <w:sz w:val="24"/>
                  <w:szCs w:val="24"/>
                </w:rPr>
                <m:t>i</m:t>
              </m:r>
            </m:sub>
          </m:sSub>
          <m:r>
            <m:rPr>
              <m:sty m:val="p"/>
            </m:rPr>
            <w:rPr>
              <w:rFonts w:ascii="Cambria Math" w:hAnsi="Cambria Math" w:eastAsia="宋体"/>
              <w:sz w:val="24"/>
              <w:szCs w:val="24"/>
            </w:rPr>
            <m:t>=</m:t>
          </m:r>
          <m:d>
            <m:dPr>
              <m:begChr m:val="["/>
              <m:endChr m:val="]"/>
            </m:dPr>
            <m:e>
              <m:m>
                <m:mPr>
                  <m:mcs>
                    <m:mc>
                      <m:mcPr>
                        <m:count m:val="1"/>
                        <m:mcJc m:val="center"/>
                      </m:mcPr>
                    </m:mc>
                  </m:mcs>
                </m:mPr>
                <m:mr>
                  <m:e>
                    <m:sSub>
                      <m:sSubPr/>
                      <m:e>
                        <m:r>
                          <m:rPr>
                            <m:sty m:val="bi"/>
                          </m:rPr>
                          <w:rPr>
                            <w:rFonts w:ascii="Cambria Math" w:hAnsi="Cambria Math" w:eastAsia="宋体"/>
                            <w:sz w:val="24"/>
                            <w:szCs w:val="24"/>
                          </w:rPr>
                          <m:t>d</m:t>
                        </m:r>
                      </m:e>
                      <m:sub>
                        <m:r>
                          <m:rPr/>
                          <w:rPr>
                            <w:rFonts w:ascii="Cambria Math" w:hAnsi="Cambria Math" w:eastAsia="宋体"/>
                            <w:sz w:val="24"/>
                            <w:szCs w:val="24"/>
                          </w:rPr>
                          <m:t>i</m:t>
                        </m:r>
                      </m:sub>
                    </m:sSub>
                  </m:e>
                </m:mr>
                <m:mr>
                  <m:e>
                    <m:sSub>
                      <m:sSubPr/>
                      <m:e>
                        <m:r>
                          <m:rPr>
                            <m:sty m:val="bi"/>
                          </m:rPr>
                          <w:rPr>
                            <w:rFonts w:ascii="Cambria Math" w:hAnsi="Cambria Math" w:eastAsia="宋体"/>
                            <w:sz w:val="24"/>
                            <w:szCs w:val="24"/>
                          </w:rPr>
                          <m:t>r</m:t>
                        </m:r>
                      </m:e>
                      <m:sub>
                        <m:r>
                          <m:rPr/>
                          <w:rPr>
                            <w:rFonts w:ascii="Cambria Math" w:hAnsi="Cambria Math" w:eastAsia="宋体"/>
                            <w:sz w:val="24"/>
                            <w:szCs w:val="24"/>
                          </w:rPr>
                          <m:t>i</m:t>
                        </m:r>
                      </m:sub>
                    </m:sSub>
                    <m:r>
                      <m:rPr>
                        <m:sty m:val="p"/>
                      </m:rPr>
                      <w:rPr>
                        <w:rFonts w:ascii="Cambria Math" w:hAnsi="Cambria Math" w:eastAsia="宋体"/>
                        <w:sz w:val="24"/>
                        <w:szCs w:val="24"/>
                      </w:rPr>
                      <m:t>×</m:t>
                    </m:r>
                    <m:sSub>
                      <m:sSubPr/>
                      <m:e>
                        <m:r>
                          <m:rPr>
                            <m:sty m:val="bi"/>
                          </m:rPr>
                          <w:rPr>
                            <w:rFonts w:ascii="Cambria Math" w:hAnsi="Cambria Math" w:eastAsia="宋体"/>
                            <w:sz w:val="24"/>
                            <w:szCs w:val="24"/>
                          </w:rPr>
                          <m:t>d</m:t>
                        </m:r>
                      </m:e>
                      <m:sub>
                        <m:r>
                          <m:rPr/>
                          <w:rPr>
                            <w:rFonts w:ascii="Cambria Math" w:hAnsi="Cambria Math" w:eastAsia="宋体"/>
                            <w:sz w:val="24"/>
                            <w:szCs w:val="24"/>
                          </w:rPr>
                          <m:t>i</m:t>
                        </m:r>
                      </m:sub>
                    </m:sSub>
                  </m:e>
                </m:mr>
              </m:m>
            </m:e>
          </m:d>
          <m:r>
            <m:rPr>
              <m:sty m:val="p"/>
            </m:rPr>
            <w:rPr>
              <w:rFonts w:ascii="Cambria Math" w:hAnsi="Cambria Math" w:eastAsia="宋体"/>
              <w:sz w:val="24"/>
              <w:szCs w:val="24"/>
            </w:rPr>
            <m:t>∈</m:t>
          </m:r>
          <m:sSup>
            <m:sSupPr/>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m:t>
          </m:r>
          <m:sSub>
            <m:sSubPr/>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r>
            <m:rPr>
              <m:sty m:val="bi"/>
            </m:rPr>
            <w:rPr>
              <w:rFonts w:ascii="Cambria Math" w:hAnsi="Cambria Math" w:eastAsia="宋体"/>
              <w:sz w:val="24"/>
              <w:szCs w:val="24"/>
            </w:rPr>
            <m:t>T</m:t>
          </m:r>
          <m:r>
            <m:rPr>
              <m:sty m:val="p"/>
            </m:rPr>
            <w:rPr>
              <w:rFonts w:ascii="Cambria Math" w:hAnsi="Cambria Math" w:eastAsia="宋体"/>
              <w:sz w:val="24"/>
              <w:szCs w:val="24"/>
            </w:rPr>
            <m:t>≤</m:t>
          </m:r>
          <m:sSub>
            <m:sSubPr/>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sSub>
            <m:sSubPr/>
            <m:e>
              <m:r>
                <m:rPr>
                  <m:sty m:val="bi"/>
                </m:rPr>
                <w:rPr>
                  <w:rFonts w:ascii="Cambria Math" w:hAnsi="Cambria Math" w:eastAsia="宋体"/>
                  <w:sz w:val="24"/>
                  <w:szCs w:val="24"/>
                </w:rPr>
                <m:t>e</m:t>
              </m:r>
            </m:e>
            <m:sub>
              <m:r>
                <m:rPr/>
                <w:rPr>
                  <w:rFonts w:ascii="Cambria Math" w:hAnsi="Cambria Math" w:eastAsia="宋体"/>
                  <w:sz w:val="24"/>
                  <w:szCs w:val="24"/>
                </w:rPr>
                <m:t>τ</m:t>
              </m:r>
            </m:sub>
          </m:sSub>
          <m:r>
            <m:rPr>
              <m:sty m:val="p"/>
            </m:rPr>
            <w:rPr>
              <w:rFonts w:ascii="Cambria Math" w:hAnsi="Cambria Math" w:eastAsia="宋体"/>
              <w:sz w:val="24"/>
              <w:szCs w:val="24"/>
            </w:rPr>
            <m:t>=</m:t>
          </m:r>
          <m:sSub>
            <m:sSubPr/>
            <m:e>
              <m:r>
                <m:rPr>
                  <m:sty m:val="bi"/>
                </m:rPr>
                <w:rPr>
                  <w:rFonts w:ascii="Cambria Math" w:hAnsi="Cambria Math" w:eastAsia="宋体"/>
                  <w:sz w:val="24"/>
                  <w:szCs w:val="24"/>
                </w:rPr>
                <m:t>τ</m:t>
              </m:r>
            </m:e>
            <m:sub>
              <m:r>
                <m:rPr/>
                <w:rPr>
                  <w:rFonts w:ascii="Cambria Math" w:hAnsi="Cambria Math" w:eastAsia="宋体"/>
                  <w:sz w:val="24"/>
                  <w:szCs w:val="24"/>
                </w:rPr>
                <m:t>c</m:t>
              </m:r>
            </m:sub>
          </m:sSub>
          <m:r>
            <m:rPr>
              <m:sty m:val="p"/>
            </m:rPr>
            <w:rPr>
              <w:rFonts w:ascii="Cambria Math" w:hAnsi="Cambria Math" w:eastAsia="宋体"/>
              <w:sz w:val="24"/>
              <w:szCs w:val="24"/>
            </w:rPr>
            <m:t>−</m:t>
          </m:r>
          <m:r>
            <m:rPr>
              <m:sty m:val="bi"/>
            </m:rPr>
            <w:rPr>
              <w:rFonts w:ascii="Cambria Math" w:hAnsi="Cambria Math" w:eastAsia="宋体"/>
              <w:sz w:val="24"/>
              <w:szCs w:val="24"/>
            </w:rPr>
            <m:t>BT</m:t>
          </m:r>
          <m:r>
            <m:rPr>
              <m:sty m:val="p"/>
            </m:rPr>
            <w:rPr>
              <w:rFonts w:ascii="Cambria Math" w:hAnsi="Cambria Math" w:eastAsia="宋体"/>
              <w:sz w:val="24"/>
              <w:szCs w:val="24"/>
            </w:rPr>
            <m:t>(3)</m:t>
          </m:r>
        </m:oMath>
      </m:oMathPara>
    </w:p>
    <w:p w14:paraId="6BCBB806">
      <w:pPr>
        <w:pStyle w:val="10"/>
        <w:spacing w:line="360" w:lineRule="auto"/>
        <w:ind w:firstLine="480" w:firstLineChars="200"/>
        <w:jc w:val="both"/>
      </w:pPr>
      <w:r>
        <w:rPr>
          <w:rFonts w:ascii="Times New Roman" w:hAnsi="Times New Roman" w:eastAsia="宋体" w:cs="Times New Roman"/>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sSubPr/>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sSub>
          <m:sSubPr/>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eastAsia="宋体" w:cs="Times New Roman"/>
          <w:b w:val="0"/>
          <w:i w:val="0"/>
          <w:color w:val="000000"/>
          <w:sz w:val="24"/>
        </w:rPr>
        <w:t xml:space="preserve"> 的有界控制分配方法，量化分析控制分配残差 </w:t>
      </w:r>
      <m:oMath>
        <m:sSub>
          <m:sSubPr/>
          <m:e>
            <m:r>
              <m:rPr>
                <m:sty m:val="bi"/>
              </m:rPr>
              <w:rPr>
                <w:rFonts w:ascii="Cambria Math" w:hAnsi="Cambria Math" w:eastAsia="宋体"/>
                <w:sz w:val="24"/>
                <w:szCs w:val="24"/>
              </w:rPr>
              <m:t>e</m:t>
            </m:r>
          </m:e>
          <m:sub>
            <m:r>
              <m:rPr/>
              <w:rPr>
                <w:rFonts w:ascii="Cambria Math" w:hAnsi="Cambria Math" w:eastAsia="宋体"/>
                <w:sz w:val="24"/>
                <w:szCs w:val="24"/>
              </w:rPr>
              <m:t>τ</m:t>
            </m:r>
          </m:sub>
        </m:sSub>
      </m:oMath>
      <w:r>
        <w:rPr>
          <w:rFonts w:ascii="Times New Roman" w:hAnsi="Times New Roman" w:eastAsia="宋体" w:cs="Times New Roman"/>
          <w:b w:val="0"/>
          <w:i w:val="0"/>
          <w:color w:val="000000"/>
          <w:sz w:val="24"/>
        </w:rPr>
        <w:t xml:space="preserve"> 与各推进器推力输出饱和情况。</w:t>
      </w:r>
    </w:p>
    <w:p w14:paraId="2B7F3FA4">
      <w:pPr>
        <w:pStyle w:val="10"/>
        <w:spacing w:line="360" w:lineRule="auto"/>
        <w:ind w:firstLine="480" w:firstLineChars="200"/>
        <w:jc w:val="both"/>
      </w:pPr>
      <w:r>
        <w:rPr>
          <w:rFonts w:ascii="Times New Roman" w:hAnsi="Times New Roman" w:eastAsia="宋体" w:cs="Times New Roman"/>
          <w:b/>
          <w:i w:val="0"/>
          <w:color w:val="000000"/>
          <w:sz w:val="24"/>
        </w:rPr>
        <w:t>5） PX4/SITL闭环仿真验证方法：</w:t>
      </w:r>
      <w:r>
        <w:rPr>
          <w:rFonts w:ascii="Times New Roman" w:hAnsi="Times New Roman" w:eastAsia="宋体" w:cs="Times New Roman"/>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sSubPr/>
          <m:e>
            <m:r>
              <m:rPr>
                <m:sty m:val="bi"/>
              </m:rPr>
              <w:rPr>
                <w:rFonts w:ascii="Cambria Math" w:hAnsi="Cambria Math" w:eastAsia="宋体"/>
                <w:sz w:val="24"/>
                <w:szCs w:val="24"/>
              </w:rPr>
              <m:t>e</m:t>
            </m:r>
          </m:e>
          <m:sub>
            <m:r>
              <m:rPr/>
              <w:rPr>
                <w:rFonts w:ascii="Cambria Math" w:hAnsi="Cambria Math" w:eastAsia="宋体"/>
                <w:sz w:val="24"/>
                <w:szCs w:val="24"/>
              </w:rPr>
              <m:t>η</m:t>
            </m:r>
          </m:sub>
        </m:sSub>
      </m:oMath>
      <w:r>
        <w:rPr>
          <w:rFonts w:ascii="Times New Roman" w:hAnsi="Times New Roman" w:eastAsia="宋体" w:cs="Times New Roman"/>
          <w:b w:val="0"/>
          <w:i w:val="0"/>
          <w:color w:val="000000"/>
          <w:sz w:val="24"/>
        </w:rPr>
        <w:t xml:space="preserve">、动态响应指标及控制分配残差 </w:t>
      </w:r>
      <m:oMath>
        <m:sSub>
          <m:sSubPr/>
          <m:e>
            <m:r>
              <m:rPr>
                <m:sty m:val="bi"/>
              </m:rPr>
              <w:rPr>
                <w:rFonts w:ascii="Cambria Math" w:hAnsi="Cambria Math" w:eastAsia="宋体"/>
                <w:sz w:val="24"/>
                <w:szCs w:val="24"/>
              </w:rPr>
              <m:t>e</m:t>
            </m:r>
          </m:e>
          <m:sub>
            <m:r>
              <m:rPr/>
              <w:rPr>
                <w:rFonts w:ascii="Cambria Math" w:hAnsi="Cambria Math" w:eastAsia="宋体"/>
                <w:sz w:val="24"/>
                <w:szCs w:val="24"/>
              </w:rPr>
              <m:t>τ</m:t>
            </m:r>
          </m:sub>
        </m:sSub>
      </m:oMath>
      <w:r>
        <w:rPr>
          <w:rFonts w:ascii="Times New Roman" w:hAnsi="Times New Roman" w:eastAsia="宋体" w:cs="Times New Roman"/>
          <w:b w:val="0"/>
          <w:i w:val="0"/>
          <w:color w:val="000000"/>
          <w:sz w:val="24"/>
        </w:rPr>
        <w:t xml:space="preserve"> 验证系统性能。</w:t>
      </w:r>
    </w:p>
    <w:p w14:paraId="316CF5C5">
      <w:pPr>
        <w:pStyle w:val="10"/>
        <w:spacing w:line="360" w:lineRule="auto"/>
        <w:ind w:firstLine="480" w:firstLineChars="200"/>
        <w:jc w:val="both"/>
      </w:pPr>
      <w:r>
        <w:rPr>
          <w:rFonts w:ascii="Times New Roman" w:hAnsi="Times New Roman" w:eastAsia="黑体" w:cs="Times New Roman"/>
          <w:b w:val="0"/>
          <w:i w:val="0"/>
          <w:color w:val="000000"/>
          <w:sz w:val="24"/>
          <w:highlight w:val="yellow"/>
        </w:rPr>
        <w:t xml:space="preserve">2.2 </w:t>
      </w:r>
      <w:r>
        <w:rPr>
          <w:rFonts w:ascii="Times New Roman" w:hAnsi="Times New Roman" w:eastAsia="黑体" w:cs="Times New Roman"/>
          <w:b w:val="0"/>
          <w:i w:val="0"/>
          <w:color w:val="000000"/>
          <w:sz w:val="24"/>
        </w:rPr>
        <w:t>技术路线图与系统仿真结构</w:t>
      </w:r>
    </w:p>
    <w:p w14:paraId="5290DD47">
      <w:pPr>
        <w:pStyle w:val="10"/>
        <w:spacing w:line="360" w:lineRule="auto"/>
        <w:ind w:firstLine="480" w:firstLineChars="200"/>
        <w:jc w:val="both"/>
      </w:pPr>
      <w:r>
        <w:rPr>
          <w:rFonts w:ascii="Times New Roman" w:hAnsi="Times New Roman" w:eastAsia="宋体" w:cs="Times New Roman"/>
          <w:b w:val="0"/>
          <w:i w:val="0"/>
          <w:color w:val="000000"/>
          <w:sz w:val="24"/>
        </w:rPr>
        <w:t>本课题的总体研究技术路线</w:t>
      </w:r>
      <w:r>
        <w:rPr>
          <w:rFonts w:ascii="Times New Roman" w:hAnsi="Times New Roman" w:eastAsia="宋体" w:cs="Times New Roman"/>
          <w:b w:val="0"/>
          <w:i w:val="0"/>
          <w:color w:val="000000"/>
          <w:sz w:val="24"/>
          <w:highlight w:val="yellow"/>
        </w:rPr>
        <w:t>如图 3 所示</w:t>
      </w:r>
      <w:r>
        <w:rPr>
          <w:rFonts w:ascii="Times New Roman" w:hAnsi="Times New Roman" w:eastAsia="宋体" w:cs="Times New Roman"/>
          <w:b w:val="0"/>
          <w:i w:val="0"/>
          <w:color w:val="000000"/>
          <w:sz w:val="24"/>
        </w:rPr>
        <w:t>，基于PX4/SITL的水下航行器闭环仿真系统结构框图</w:t>
      </w:r>
      <w:r>
        <w:rPr>
          <w:rFonts w:ascii="Times New Roman" w:hAnsi="Times New Roman" w:eastAsia="宋体" w:cs="Times New Roman"/>
          <w:b w:val="0"/>
          <w:i w:val="0"/>
          <w:color w:val="000000"/>
          <w:sz w:val="24"/>
          <w:highlight w:val="yellow"/>
        </w:rPr>
        <w:t>如图 4 所示</w:t>
      </w:r>
      <w:r>
        <w:rPr>
          <w:rFonts w:ascii="Times New Roman" w:hAnsi="Times New Roman" w:eastAsia="宋体" w:cs="Times New Roman"/>
          <w:b w:val="0"/>
          <w:i w:val="0"/>
          <w:color w:val="000000"/>
          <w:sz w:val="24"/>
        </w:rPr>
        <w:t>。</w:t>
      </w:r>
    </w:p>
    <w:p w14:paraId="32267B5E">
      <w:pPr>
        <w:spacing w:before="120" w:beforeLines="50" w:line="240" w:lineRule="auto"/>
        <w:ind w:left="0" w:firstLine="0" w:firstLineChars="0"/>
        <w:jc w:val="center"/>
      </w:pPr>
      <w:r>
        <w:drawing>
          <wp:inline distT="0" distB="0" distL="114300" distR="114300">
            <wp:extent cx="5471795" cy="3351530"/>
            <wp:effectExtent l="0" t="0" r="190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472000" cy="3351600"/>
                    </a:xfrm>
                    <a:prstGeom prst="rect">
                      <a:avLst/>
                    </a:prstGeom>
                  </pic:spPr>
                </pic:pic>
              </a:graphicData>
            </a:graphic>
          </wp:inline>
        </w:drawing>
      </w:r>
    </w:p>
    <w:p w14:paraId="167CD67E">
      <w:pPr>
        <w:spacing w:after="120" w:afterLines="50" w:line="360" w:lineRule="auto"/>
        <w:ind w:left="0" w:firstLine="0" w:firstLineChars="0"/>
        <w:jc w:val="center"/>
      </w:pPr>
      <w:r>
        <w:rPr>
          <w:rFonts w:ascii="Times New Roman" w:hAnsi="Times New Roman" w:eastAsia="宋体" w:cs="Times New Roman"/>
          <w:b/>
          <w:i w:val="0"/>
          <w:color w:val="000000"/>
          <w:sz w:val="21"/>
          <w:highlight w:val="yellow"/>
        </w:rPr>
        <w:t>图 3</w:t>
      </w:r>
      <w:r>
        <w:rPr>
          <w:rFonts w:ascii="Times New Roman" w:hAnsi="Times New Roman" w:eastAsia="宋体" w:cs="Times New Roman"/>
          <w:b/>
          <w:i w:val="0"/>
          <w:color w:val="000000"/>
          <w:sz w:val="21"/>
        </w:rPr>
        <w:t xml:space="preserve">  课题总体研究技术路线图</w:t>
      </w:r>
    </w:p>
    <w:p w14:paraId="01FC54A0">
      <w:pPr>
        <w:spacing w:before="120" w:beforeLines="50" w:line="240" w:lineRule="auto"/>
        <w:ind w:left="0" w:firstLine="0" w:firstLineChars="0"/>
        <w:jc w:val="center"/>
      </w:pPr>
      <w:r>
        <w:drawing>
          <wp:inline distT="0" distB="0" distL="114300" distR="114300">
            <wp:extent cx="5471795" cy="2235835"/>
            <wp:effectExtent l="0" t="0" r="1905"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472000" cy="2235871"/>
                    </a:xfrm>
                    <a:prstGeom prst="rect">
                      <a:avLst/>
                    </a:prstGeom>
                  </pic:spPr>
                </pic:pic>
              </a:graphicData>
            </a:graphic>
          </wp:inline>
        </w:drawing>
      </w:r>
    </w:p>
    <w:p w14:paraId="4E8431C8">
      <w:pPr>
        <w:spacing w:after="120" w:afterLines="50" w:line="360" w:lineRule="auto"/>
        <w:ind w:left="0" w:firstLine="0" w:firstLineChars="0"/>
        <w:jc w:val="center"/>
      </w:pPr>
      <w:r>
        <w:rPr>
          <w:rFonts w:ascii="Times New Roman" w:hAnsi="Times New Roman" w:eastAsia="宋体" w:cs="Times New Roman"/>
          <w:b/>
          <w:i w:val="0"/>
          <w:color w:val="000000"/>
          <w:sz w:val="21"/>
          <w:highlight w:val="yellow"/>
        </w:rPr>
        <w:t>图 4</w:t>
      </w:r>
      <w:r>
        <w:rPr>
          <w:rFonts w:ascii="Times New Roman" w:hAnsi="Times New Roman" w:eastAsia="宋体" w:cs="Times New Roman"/>
          <w:b/>
          <w:i w:val="0"/>
          <w:color w:val="000000"/>
          <w:sz w:val="21"/>
        </w:rPr>
        <w:t xml:space="preserve">  基于PX4/SITL的水下航行器闭环仿真系统结构框图</w:t>
      </w:r>
    </w:p>
    <w:p w14:paraId="4F948BA8">
      <w:pPr>
        <w:pStyle w:val="10"/>
        <w:spacing w:line="360" w:lineRule="auto"/>
        <w:ind w:firstLine="480" w:firstLineChars="200"/>
        <w:jc w:val="both"/>
      </w:pPr>
      <w:r>
        <w:rPr>
          <w:rFonts w:ascii="Times New Roman" w:hAnsi="Times New Roman" w:eastAsia="黑体" w:cs="Times New Roman"/>
          <w:b w:val="0"/>
          <w:i w:val="0"/>
          <w:color w:val="000000"/>
          <w:sz w:val="24"/>
          <w:highlight w:val="yellow"/>
        </w:rPr>
        <w:t xml:space="preserve">2.3 </w:t>
      </w:r>
      <w:r>
        <w:rPr>
          <w:rFonts w:ascii="Times New Roman" w:hAnsi="Times New Roman" w:eastAsia="黑体" w:cs="Times New Roman"/>
          <w:b w:val="0"/>
          <w:i w:val="0"/>
          <w:color w:val="000000"/>
          <w:sz w:val="24"/>
        </w:rPr>
        <w:t>可行性分析</w:t>
      </w:r>
    </w:p>
    <w:p w14:paraId="56185531">
      <w:pPr>
        <w:pStyle w:val="10"/>
        <w:spacing w:line="360" w:lineRule="auto"/>
        <w:ind w:firstLine="480" w:firstLineChars="200"/>
        <w:jc w:val="both"/>
      </w:pPr>
      <w:r>
        <w:rPr>
          <w:rFonts w:ascii="Times New Roman" w:hAnsi="Times New Roman" w:eastAsia="宋体" w:cs="Times New Roman"/>
          <w:b w:val="0"/>
          <w:i w:val="0"/>
          <w:color w:val="000000"/>
          <w:sz w:val="24"/>
        </w:rPr>
        <w:t>本课题研究方案的可行性主要体现在以下三个方面：</w:t>
      </w:r>
    </w:p>
    <w:p w14:paraId="38C1C68D">
      <w:pPr>
        <w:pStyle w:val="10"/>
        <w:spacing w:line="360" w:lineRule="auto"/>
        <w:ind w:firstLine="480" w:firstLineChars="200"/>
        <w:jc w:val="both"/>
      </w:pPr>
      <w:r>
        <w:rPr>
          <w:rFonts w:ascii="Times New Roman" w:hAnsi="Times New Roman" w:eastAsia="宋体" w:cs="Times New Roman"/>
          <w:b/>
          <w:i w:val="0"/>
          <w:color w:val="000000"/>
          <w:sz w:val="24"/>
        </w:rPr>
        <w:t>1） 理论与方法可行性：</w:t>
      </w:r>
      <w:r>
        <w:rPr>
          <w:rFonts w:ascii="Times New Roman" w:hAnsi="Times New Roman" w:eastAsia="宋体" w:cs="Times New Roman"/>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14:paraId="6D0D98A2">
      <w:pPr>
        <w:pStyle w:val="10"/>
        <w:spacing w:line="360" w:lineRule="auto"/>
        <w:ind w:firstLine="480" w:firstLineChars="200"/>
        <w:jc w:val="both"/>
      </w:pPr>
      <w:r>
        <w:rPr>
          <w:rFonts w:ascii="Times New Roman" w:hAnsi="Times New Roman" w:eastAsia="宋体" w:cs="Times New Roman"/>
          <w:b/>
          <w:i w:val="0"/>
          <w:color w:val="000000"/>
          <w:sz w:val="24"/>
        </w:rPr>
        <w:t>2） 平台与数据基础可行性：</w:t>
      </w:r>
      <w:r>
        <w:rPr>
          <w:rFonts w:ascii="Times New Roman" w:hAnsi="Times New Roman" w:eastAsia="宋体" w:cs="Times New Roman"/>
          <w:b w:val="0"/>
          <w:i w:val="0"/>
          <w:color w:val="000000"/>
          <w:sz w:val="24"/>
        </w:rPr>
        <w:t>本课题直接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14:paraId="5D8FCAE2">
      <w:pPr>
        <w:pStyle w:val="10"/>
        <w:spacing w:line="360" w:lineRule="auto"/>
        <w:ind w:firstLine="480" w:firstLineChars="200"/>
        <w:jc w:val="both"/>
      </w:pPr>
      <w:r>
        <w:rPr>
          <w:rFonts w:ascii="Times New Roman" w:hAnsi="Times New Roman" w:eastAsia="宋体" w:cs="Times New Roman"/>
          <w:b/>
          <w:i w:val="0"/>
          <w:color w:val="000000"/>
          <w:sz w:val="24"/>
        </w:rPr>
        <w:t>3） 软件与仿真环境可行性：</w:t>
      </w:r>
      <w:r>
        <w:rPr>
          <w:rFonts w:ascii="Times New Roman" w:hAnsi="Times New Roman" w:eastAsia="宋体" w:cs="Times New Roman"/>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14:paraId="0CB5F8B2">
      <w:pPr>
        <w:pStyle w:val="9"/>
        <w:spacing w:before="120" w:beforeLines="50" w:after="120" w:afterLines="50" w:line="360" w:lineRule="auto"/>
        <w:ind w:left="0" w:firstLine="0" w:firstLineChars="0"/>
        <w:jc w:val="left"/>
      </w:pPr>
      <w:r>
        <w:rPr>
          <w:rFonts w:ascii="Times New Roman" w:hAnsi="Times New Roman" w:eastAsia="黑体" w:cs="Times New Roman"/>
          <w:b w:val="0"/>
          <w:i w:val="0"/>
          <w:color w:val="000000"/>
          <w:sz w:val="24"/>
          <w:highlight w:val="yellow"/>
        </w:rPr>
        <w:t xml:space="preserve">3. </w:t>
      </w:r>
      <w:r>
        <w:rPr>
          <w:rFonts w:ascii="Times New Roman" w:hAnsi="Times New Roman" w:eastAsia="黑体" w:cs="Times New Roman"/>
          <w:b w:val="0"/>
          <w:i w:val="0"/>
          <w:color w:val="000000"/>
          <w:sz w:val="24"/>
        </w:rPr>
        <w:t>工作进度安排</w:t>
      </w:r>
    </w:p>
    <w:p w14:paraId="40DEAFF3">
      <w:pPr>
        <w:pStyle w:val="10"/>
        <w:spacing w:line="360" w:lineRule="auto"/>
        <w:ind w:firstLine="480" w:firstLineChars="200"/>
        <w:jc w:val="both"/>
      </w:pPr>
      <w:r>
        <w:rPr>
          <w:rFonts w:ascii="Times New Roman" w:hAnsi="Times New Roman" w:eastAsia="宋体" w:cs="Times New Roman"/>
          <w:b w:val="0"/>
          <w:i w:val="0"/>
          <w:color w:val="000000"/>
          <w:sz w:val="24"/>
        </w:rPr>
        <w:t>根据学校毕业论文总体进程与任务书要求，本课题各阶段工作进度安排如表 2 所示：</w:t>
      </w:r>
    </w:p>
    <w:p w14:paraId="656E0818">
      <w:pPr>
        <w:spacing w:before="120" w:beforeLines="50" w:line="240" w:lineRule="auto"/>
        <w:ind w:left="0" w:firstLine="0" w:firstLineChars="0"/>
        <w:jc w:val="center"/>
      </w:pPr>
      <w:r>
        <w:rPr>
          <w:rFonts w:ascii="Times New Roman" w:hAnsi="Times New Roman" w:eastAsia="宋体" w:cs="Times New Roman"/>
          <w:b/>
          <w:i w:val="0"/>
          <w:color w:val="000000"/>
          <w:sz w:val="21"/>
        </w:rPr>
        <w:t>表 2  毕业论文工作进度安排</w:t>
      </w:r>
    </w:p>
    <w:tbl>
      <w:tblPr>
        <w:tblStyle w:val="5"/>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96"/>
        <w:gridCol w:w="4832"/>
        <w:gridCol w:w="2701"/>
      </w:tblGrid>
      <w:tr w14:paraId="4F58A0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020" w:type="dxa"/>
            <w:vAlign w:val="center"/>
          </w:tcPr>
          <w:p w14:paraId="3250DB84">
            <w:pPr>
              <w:spacing w:before="40" w:after="40" w:line="288" w:lineRule="auto"/>
              <w:ind w:firstLine="0"/>
              <w:jc w:val="center"/>
            </w:pPr>
            <w:r>
              <w:rPr>
                <w:rFonts w:ascii="Times New Roman" w:hAnsi="Times New Roman" w:eastAsia="黑体" w:cs="Times New Roman"/>
                <w:b/>
                <w:i w:val="0"/>
                <w:color w:val="000000"/>
                <w:sz w:val="21"/>
              </w:rPr>
              <w:t>序 号</w:t>
            </w:r>
          </w:p>
        </w:tc>
        <w:tc>
          <w:tcPr>
            <w:tcW w:w="4989" w:type="dxa"/>
            <w:vAlign w:val="center"/>
          </w:tcPr>
          <w:p w14:paraId="43594A80">
            <w:pPr>
              <w:spacing w:before="40" w:after="40" w:line="288" w:lineRule="auto"/>
              <w:ind w:firstLine="0"/>
              <w:jc w:val="center"/>
            </w:pPr>
            <w:r>
              <w:rPr>
                <w:rFonts w:ascii="Times New Roman" w:hAnsi="Times New Roman" w:eastAsia="黑体" w:cs="Times New Roman"/>
                <w:b/>
                <w:i w:val="0"/>
                <w:color w:val="000000"/>
                <w:sz w:val="21"/>
              </w:rPr>
              <w:t>论文各阶段名称</w:t>
            </w:r>
          </w:p>
        </w:tc>
        <w:tc>
          <w:tcPr>
            <w:tcW w:w="2721" w:type="dxa"/>
            <w:vAlign w:val="center"/>
          </w:tcPr>
          <w:p w14:paraId="4A1B0E71">
            <w:pPr>
              <w:spacing w:before="40" w:after="40" w:line="288" w:lineRule="auto"/>
              <w:ind w:firstLine="0"/>
              <w:jc w:val="center"/>
            </w:pPr>
            <w:r>
              <w:rPr>
                <w:rFonts w:ascii="Times New Roman" w:hAnsi="Times New Roman" w:eastAsia="黑体" w:cs="Times New Roman"/>
                <w:b/>
                <w:i w:val="0"/>
                <w:color w:val="000000"/>
                <w:sz w:val="21"/>
              </w:rPr>
              <w:t>时间安排（教学周）</w:t>
            </w:r>
          </w:p>
        </w:tc>
      </w:tr>
      <w:tr w14:paraId="06201F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020" w:type="dxa"/>
            <w:vAlign w:val="center"/>
          </w:tcPr>
          <w:p w14:paraId="06536850">
            <w:pPr>
              <w:spacing w:before="40" w:after="40" w:line="288" w:lineRule="auto"/>
              <w:ind w:firstLine="0"/>
              <w:jc w:val="center"/>
            </w:pPr>
            <w:r>
              <w:rPr>
                <w:rFonts w:ascii="Times New Roman" w:hAnsi="Times New Roman" w:eastAsia="宋体" w:cs="Times New Roman"/>
                <w:b w:val="0"/>
                <w:i w:val="0"/>
                <w:color w:val="000000"/>
                <w:sz w:val="21"/>
              </w:rPr>
              <w:t>1</w:t>
            </w:r>
          </w:p>
        </w:tc>
        <w:tc>
          <w:tcPr>
            <w:tcW w:w="4989" w:type="dxa"/>
            <w:vAlign w:val="center"/>
          </w:tcPr>
          <w:p w14:paraId="47423714">
            <w:pPr>
              <w:spacing w:before="40" w:after="40" w:line="288" w:lineRule="auto"/>
              <w:ind w:firstLine="0"/>
              <w:jc w:val="left"/>
            </w:pPr>
            <w:r>
              <w:rPr>
                <w:rFonts w:ascii="Times New Roman" w:hAnsi="Times New Roman" w:eastAsia="宋体" w:cs="Times New Roman"/>
                <w:b w:val="0"/>
                <w:i w:val="0"/>
                <w:color w:val="000000"/>
                <w:sz w:val="21"/>
              </w:rPr>
              <w:t>课题申报、审核</w:t>
            </w:r>
          </w:p>
        </w:tc>
        <w:tc>
          <w:tcPr>
            <w:tcW w:w="2721" w:type="dxa"/>
            <w:vAlign w:val="center"/>
          </w:tcPr>
          <w:p w14:paraId="6B6D8B6C">
            <w:pPr>
              <w:spacing w:before="40" w:after="40" w:line="288" w:lineRule="auto"/>
              <w:ind w:firstLine="0"/>
              <w:jc w:val="center"/>
            </w:pPr>
            <w:r>
              <w:rPr>
                <w:rFonts w:ascii="Times New Roman" w:hAnsi="Times New Roman" w:eastAsia="宋体" w:cs="Times New Roman"/>
                <w:b w:val="0"/>
                <w:i w:val="0"/>
                <w:color w:val="000000"/>
                <w:sz w:val="21"/>
              </w:rPr>
              <w:t>2026.7.13~2026.7.24</w:t>
            </w:r>
            <w:r>
              <w:rPr>
                <w:rFonts w:ascii="Times New Roman" w:hAnsi="Times New Roman" w:eastAsia="宋体" w:cs="Times New Roman"/>
                <w:b w:val="0"/>
                <w:i w:val="0"/>
                <w:color w:val="000000"/>
                <w:sz w:val="21"/>
              </w:rPr>
              <w:br w:type="textWrapping"/>
            </w:r>
            <w:r>
              <w:rPr>
                <w:rFonts w:ascii="Times New Roman" w:hAnsi="Times New Roman" w:eastAsia="宋体" w:cs="Times New Roman"/>
                <w:b w:val="0"/>
                <w:i w:val="0"/>
                <w:color w:val="000000"/>
                <w:sz w:val="21"/>
              </w:rPr>
              <w:t>（第20~21周）</w:t>
            </w:r>
          </w:p>
        </w:tc>
      </w:tr>
      <w:tr w14:paraId="70B8A7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020" w:type="dxa"/>
            <w:vAlign w:val="center"/>
          </w:tcPr>
          <w:p w14:paraId="1BD8255C">
            <w:pPr>
              <w:spacing w:before="40" w:after="40" w:line="288" w:lineRule="auto"/>
              <w:ind w:firstLine="0"/>
              <w:jc w:val="center"/>
            </w:pPr>
            <w:r>
              <w:rPr>
                <w:rFonts w:ascii="Times New Roman" w:hAnsi="Times New Roman" w:eastAsia="宋体" w:cs="Times New Roman"/>
                <w:b w:val="0"/>
                <w:i w:val="0"/>
                <w:color w:val="000000"/>
                <w:sz w:val="21"/>
              </w:rPr>
              <w:t>2</w:t>
            </w:r>
          </w:p>
        </w:tc>
        <w:tc>
          <w:tcPr>
            <w:tcW w:w="4989" w:type="dxa"/>
            <w:vAlign w:val="center"/>
          </w:tcPr>
          <w:p w14:paraId="3479DDA8">
            <w:pPr>
              <w:spacing w:before="40" w:after="40" w:line="288" w:lineRule="auto"/>
              <w:ind w:firstLine="0"/>
              <w:jc w:val="left"/>
            </w:pPr>
            <w:r>
              <w:rPr>
                <w:rFonts w:ascii="Times New Roman" w:hAnsi="Times New Roman" w:eastAsia="宋体" w:cs="Times New Roman"/>
                <w:b w:val="0"/>
                <w:i w:val="0"/>
                <w:color w:val="000000"/>
                <w:sz w:val="21"/>
              </w:rPr>
              <w:t>学生选课、选题</w:t>
            </w:r>
          </w:p>
        </w:tc>
        <w:tc>
          <w:tcPr>
            <w:tcW w:w="2721" w:type="dxa"/>
            <w:vAlign w:val="center"/>
          </w:tcPr>
          <w:p w14:paraId="04314FE3">
            <w:pPr>
              <w:spacing w:before="40" w:after="40" w:line="288" w:lineRule="auto"/>
              <w:ind w:firstLine="0"/>
              <w:jc w:val="center"/>
            </w:pPr>
            <w:r>
              <w:rPr>
                <w:rFonts w:ascii="Times New Roman" w:hAnsi="Times New Roman" w:eastAsia="宋体" w:cs="Times New Roman"/>
                <w:b w:val="0"/>
                <w:i w:val="0"/>
                <w:color w:val="000000"/>
                <w:sz w:val="21"/>
              </w:rPr>
              <w:t>2026.8.4~2026.8.7</w:t>
            </w:r>
            <w:r>
              <w:rPr>
                <w:rFonts w:ascii="Times New Roman" w:hAnsi="Times New Roman" w:eastAsia="宋体" w:cs="Times New Roman"/>
                <w:b w:val="0"/>
                <w:i w:val="0"/>
                <w:color w:val="000000"/>
                <w:sz w:val="21"/>
              </w:rPr>
              <w:br w:type="textWrapping"/>
            </w:r>
            <w:r>
              <w:rPr>
                <w:rFonts w:ascii="Times New Roman" w:hAnsi="Times New Roman" w:eastAsia="宋体" w:cs="Times New Roman"/>
                <w:b w:val="0"/>
                <w:i w:val="0"/>
                <w:color w:val="000000"/>
                <w:sz w:val="21"/>
              </w:rPr>
              <w:t>（第23周）</w:t>
            </w:r>
          </w:p>
        </w:tc>
      </w:tr>
      <w:tr w14:paraId="618BBF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020" w:type="dxa"/>
            <w:vAlign w:val="center"/>
          </w:tcPr>
          <w:p w14:paraId="106D7532">
            <w:pPr>
              <w:spacing w:before="40" w:after="40" w:line="288" w:lineRule="auto"/>
              <w:ind w:firstLine="0"/>
              <w:jc w:val="center"/>
            </w:pPr>
            <w:r>
              <w:rPr>
                <w:rFonts w:ascii="Times New Roman" w:hAnsi="Times New Roman" w:eastAsia="宋体" w:cs="Times New Roman"/>
                <w:b w:val="0"/>
                <w:i w:val="0"/>
                <w:color w:val="000000"/>
                <w:sz w:val="21"/>
              </w:rPr>
              <w:t>3</w:t>
            </w:r>
          </w:p>
        </w:tc>
        <w:tc>
          <w:tcPr>
            <w:tcW w:w="4989" w:type="dxa"/>
            <w:vAlign w:val="center"/>
          </w:tcPr>
          <w:p w14:paraId="206CAD9E">
            <w:pPr>
              <w:spacing w:before="40" w:after="40" w:line="288" w:lineRule="auto"/>
              <w:ind w:firstLine="0"/>
              <w:jc w:val="left"/>
            </w:pPr>
            <w:r>
              <w:rPr>
                <w:rFonts w:ascii="Times New Roman" w:hAnsi="Times New Roman" w:eastAsia="宋体" w:cs="Times New Roman"/>
                <w:b w:val="0"/>
                <w:i w:val="0"/>
                <w:color w:val="000000"/>
                <w:sz w:val="21"/>
              </w:rPr>
              <w:t>下达任务书及任务书审核</w:t>
            </w:r>
          </w:p>
        </w:tc>
        <w:tc>
          <w:tcPr>
            <w:tcW w:w="2721" w:type="dxa"/>
            <w:vAlign w:val="center"/>
          </w:tcPr>
          <w:p w14:paraId="1A47CB3A">
            <w:pPr>
              <w:spacing w:before="40" w:after="40" w:line="288" w:lineRule="auto"/>
              <w:ind w:firstLine="0"/>
              <w:jc w:val="center"/>
            </w:pPr>
            <w:r>
              <w:rPr>
                <w:rFonts w:ascii="Times New Roman" w:hAnsi="Times New Roman" w:eastAsia="宋体" w:cs="Times New Roman"/>
                <w:b w:val="0"/>
                <w:i w:val="0"/>
                <w:color w:val="000000"/>
                <w:sz w:val="21"/>
              </w:rPr>
              <w:t>2026.8.17~2026.8.21</w:t>
            </w:r>
            <w:r>
              <w:rPr>
                <w:rFonts w:ascii="Times New Roman" w:hAnsi="Times New Roman" w:eastAsia="宋体" w:cs="Times New Roman"/>
                <w:b w:val="0"/>
                <w:i w:val="0"/>
                <w:color w:val="000000"/>
                <w:sz w:val="21"/>
              </w:rPr>
              <w:br w:type="textWrapping"/>
            </w:r>
            <w:r>
              <w:rPr>
                <w:rFonts w:ascii="Times New Roman" w:hAnsi="Times New Roman" w:eastAsia="宋体" w:cs="Times New Roman"/>
                <w:b w:val="0"/>
                <w:i w:val="0"/>
                <w:color w:val="000000"/>
                <w:sz w:val="21"/>
              </w:rPr>
              <w:t>（第25周）</w:t>
            </w:r>
          </w:p>
        </w:tc>
      </w:tr>
      <w:tr w14:paraId="6239F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020" w:type="dxa"/>
            <w:vAlign w:val="center"/>
          </w:tcPr>
          <w:p w14:paraId="2582B36C">
            <w:pPr>
              <w:spacing w:before="40" w:after="40" w:line="288" w:lineRule="auto"/>
              <w:ind w:firstLine="0"/>
              <w:jc w:val="center"/>
            </w:pPr>
            <w:r>
              <w:rPr>
                <w:rFonts w:ascii="Times New Roman" w:hAnsi="Times New Roman" w:eastAsia="宋体" w:cs="Times New Roman"/>
                <w:b w:val="0"/>
                <w:i w:val="0"/>
                <w:color w:val="000000"/>
                <w:sz w:val="21"/>
              </w:rPr>
              <w:t>4</w:t>
            </w:r>
          </w:p>
        </w:tc>
        <w:tc>
          <w:tcPr>
            <w:tcW w:w="4989" w:type="dxa"/>
            <w:vAlign w:val="center"/>
          </w:tcPr>
          <w:p w14:paraId="2DFE0A5C">
            <w:pPr>
              <w:spacing w:before="40" w:after="40" w:line="288" w:lineRule="auto"/>
              <w:ind w:firstLine="0"/>
              <w:jc w:val="left"/>
            </w:pPr>
            <w:r>
              <w:rPr>
                <w:rFonts w:ascii="Times New Roman" w:hAnsi="Times New Roman" w:eastAsia="宋体" w:cs="Times New Roman"/>
                <w:b w:val="0"/>
                <w:i w:val="0"/>
                <w:color w:val="000000"/>
                <w:sz w:val="21"/>
              </w:rPr>
              <w:t>编写开题报告、开题答辩、提交开题报告、审核</w:t>
            </w:r>
          </w:p>
        </w:tc>
        <w:tc>
          <w:tcPr>
            <w:tcW w:w="2721" w:type="dxa"/>
            <w:vAlign w:val="center"/>
          </w:tcPr>
          <w:p w14:paraId="44F760F1">
            <w:pPr>
              <w:spacing w:before="40" w:after="40" w:line="288" w:lineRule="auto"/>
              <w:ind w:firstLine="0"/>
              <w:jc w:val="center"/>
            </w:pPr>
            <w:r>
              <w:rPr>
                <w:rFonts w:ascii="Times New Roman" w:hAnsi="Times New Roman" w:eastAsia="宋体" w:cs="Times New Roman"/>
                <w:b w:val="0"/>
                <w:i w:val="0"/>
                <w:color w:val="000000"/>
                <w:sz w:val="21"/>
              </w:rPr>
              <w:t>2026.9.16~2026.10.9</w:t>
            </w:r>
            <w:r>
              <w:rPr>
                <w:rFonts w:ascii="Times New Roman" w:hAnsi="Times New Roman" w:eastAsia="宋体" w:cs="Times New Roman"/>
                <w:b w:val="0"/>
                <w:i w:val="0"/>
                <w:color w:val="000000"/>
                <w:sz w:val="21"/>
              </w:rPr>
              <w:br w:type="textWrapping"/>
            </w:r>
            <w:r>
              <w:rPr>
                <w:rFonts w:ascii="Times New Roman" w:hAnsi="Times New Roman" w:eastAsia="宋体" w:cs="Times New Roman"/>
                <w:b w:val="0"/>
                <w:i w:val="0"/>
                <w:color w:val="000000"/>
                <w:sz w:val="21"/>
              </w:rPr>
              <w:t>（第1~4周）</w:t>
            </w:r>
          </w:p>
        </w:tc>
      </w:tr>
      <w:tr w14:paraId="54949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020" w:type="dxa"/>
            <w:vAlign w:val="center"/>
          </w:tcPr>
          <w:p w14:paraId="61812FF8">
            <w:pPr>
              <w:spacing w:before="40" w:after="40" w:line="288" w:lineRule="auto"/>
              <w:ind w:firstLine="0"/>
              <w:jc w:val="center"/>
            </w:pPr>
            <w:r>
              <w:rPr>
                <w:rFonts w:ascii="Times New Roman" w:hAnsi="Times New Roman" w:eastAsia="宋体" w:cs="Times New Roman"/>
                <w:b w:val="0"/>
                <w:i w:val="0"/>
                <w:color w:val="000000"/>
                <w:sz w:val="21"/>
              </w:rPr>
              <w:t>5</w:t>
            </w:r>
          </w:p>
        </w:tc>
        <w:tc>
          <w:tcPr>
            <w:tcW w:w="4989" w:type="dxa"/>
            <w:vAlign w:val="center"/>
          </w:tcPr>
          <w:p w14:paraId="12D85FFA">
            <w:pPr>
              <w:spacing w:before="40" w:after="40" w:line="288" w:lineRule="auto"/>
              <w:ind w:firstLine="0"/>
              <w:jc w:val="left"/>
            </w:pPr>
            <w:r>
              <w:rPr>
                <w:rFonts w:ascii="Times New Roman" w:hAnsi="Times New Roman" w:eastAsia="宋体" w:cs="Times New Roman"/>
                <w:b w:val="0"/>
                <w:i w:val="0"/>
                <w:color w:val="000000"/>
                <w:sz w:val="21"/>
              </w:rPr>
              <w:t>水下航行器动力学与推进器建模、PX4/SITL基础环境搭建</w:t>
            </w:r>
          </w:p>
        </w:tc>
        <w:tc>
          <w:tcPr>
            <w:tcW w:w="2721" w:type="dxa"/>
            <w:vAlign w:val="center"/>
          </w:tcPr>
          <w:p w14:paraId="255F5442">
            <w:pPr>
              <w:spacing w:before="40" w:after="40" w:line="288" w:lineRule="auto"/>
              <w:ind w:firstLine="0"/>
              <w:jc w:val="center"/>
            </w:pPr>
            <w:r>
              <w:rPr>
                <w:rFonts w:ascii="Times New Roman" w:hAnsi="Times New Roman" w:eastAsia="宋体" w:cs="Times New Roman"/>
                <w:b w:val="0"/>
                <w:i w:val="0"/>
                <w:color w:val="000000"/>
                <w:sz w:val="21"/>
              </w:rPr>
              <w:t>2026.10.12~2026.11.20</w:t>
            </w:r>
            <w:r>
              <w:rPr>
                <w:rFonts w:ascii="Times New Roman" w:hAnsi="Times New Roman" w:eastAsia="宋体" w:cs="Times New Roman"/>
                <w:b w:val="0"/>
                <w:i w:val="0"/>
                <w:color w:val="000000"/>
                <w:sz w:val="21"/>
              </w:rPr>
              <w:br w:type="textWrapping"/>
            </w:r>
            <w:r>
              <w:rPr>
                <w:rFonts w:ascii="Times New Roman" w:hAnsi="Times New Roman" w:eastAsia="宋体" w:cs="Times New Roman"/>
                <w:b w:val="0"/>
                <w:i w:val="0"/>
                <w:color w:val="000000"/>
                <w:sz w:val="21"/>
              </w:rPr>
              <w:t>（第5~10周）</w:t>
            </w:r>
          </w:p>
        </w:tc>
      </w:tr>
      <w:tr w14:paraId="34B3D6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020" w:type="dxa"/>
            <w:vAlign w:val="center"/>
          </w:tcPr>
          <w:p w14:paraId="6ECCB96B">
            <w:pPr>
              <w:spacing w:before="40" w:after="40" w:line="288" w:lineRule="auto"/>
              <w:ind w:firstLine="0"/>
              <w:jc w:val="center"/>
            </w:pPr>
            <w:r>
              <w:rPr>
                <w:rFonts w:ascii="Times New Roman" w:hAnsi="Times New Roman" w:eastAsia="宋体" w:cs="Times New Roman"/>
                <w:b w:val="0"/>
                <w:i w:val="0"/>
                <w:color w:val="000000"/>
                <w:sz w:val="21"/>
              </w:rPr>
              <w:t>6</w:t>
            </w:r>
          </w:p>
        </w:tc>
        <w:tc>
          <w:tcPr>
            <w:tcW w:w="4989" w:type="dxa"/>
            <w:vAlign w:val="center"/>
          </w:tcPr>
          <w:p w14:paraId="630CE26E">
            <w:pPr>
              <w:spacing w:before="40" w:after="40" w:line="288" w:lineRule="auto"/>
              <w:ind w:firstLine="0"/>
              <w:jc w:val="left"/>
            </w:pPr>
            <w:r>
              <w:rPr>
                <w:rFonts w:ascii="Times New Roman" w:hAnsi="Times New Roman" w:eastAsia="宋体" w:cs="Times New Roman"/>
                <w:b w:val="0"/>
                <w:i w:val="0"/>
                <w:color w:val="000000"/>
                <w:sz w:val="21"/>
              </w:rPr>
              <w:t>系统辨识与模型验证、运动控制方法研究</w:t>
            </w:r>
          </w:p>
        </w:tc>
        <w:tc>
          <w:tcPr>
            <w:tcW w:w="2721" w:type="dxa"/>
            <w:vAlign w:val="center"/>
          </w:tcPr>
          <w:p w14:paraId="59EFB0E9">
            <w:pPr>
              <w:spacing w:before="40" w:after="40" w:line="288" w:lineRule="auto"/>
              <w:ind w:firstLine="0"/>
              <w:jc w:val="center"/>
            </w:pPr>
            <w:r>
              <w:rPr>
                <w:rFonts w:ascii="Times New Roman" w:hAnsi="Times New Roman" w:eastAsia="宋体" w:cs="Times New Roman"/>
                <w:b w:val="0"/>
                <w:i w:val="0"/>
                <w:color w:val="000000"/>
                <w:sz w:val="21"/>
              </w:rPr>
              <w:t>2026.11.23~2026.12.25</w:t>
            </w:r>
            <w:r>
              <w:rPr>
                <w:rFonts w:ascii="Times New Roman" w:hAnsi="Times New Roman" w:eastAsia="宋体" w:cs="Times New Roman"/>
                <w:b w:val="0"/>
                <w:i w:val="0"/>
                <w:color w:val="000000"/>
                <w:sz w:val="21"/>
              </w:rPr>
              <w:br w:type="textWrapping"/>
            </w:r>
            <w:r>
              <w:rPr>
                <w:rFonts w:ascii="Times New Roman" w:hAnsi="Times New Roman" w:eastAsia="宋体" w:cs="Times New Roman"/>
                <w:b w:val="0"/>
                <w:i w:val="0"/>
                <w:color w:val="000000"/>
                <w:sz w:val="21"/>
              </w:rPr>
              <w:t>（第11~15周）</w:t>
            </w:r>
          </w:p>
        </w:tc>
      </w:tr>
      <w:tr w14:paraId="11227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020" w:type="dxa"/>
            <w:vAlign w:val="center"/>
          </w:tcPr>
          <w:p w14:paraId="0498203B">
            <w:pPr>
              <w:spacing w:before="40" w:after="40" w:line="288" w:lineRule="auto"/>
              <w:ind w:firstLine="0"/>
              <w:jc w:val="center"/>
            </w:pPr>
            <w:r>
              <w:rPr>
                <w:rFonts w:ascii="Times New Roman" w:hAnsi="Times New Roman" w:eastAsia="宋体" w:cs="Times New Roman"/>
                <w:b w:val="0"/>
                <w:i w:val="0"/>
                <w:color w:val="000000"/>
                <w:sz w:val="21"/>
              </w:rPr>
              <w:t>7</w:t>
            </w:r>
          </w:p>
        </w:tc>
        <w:tc>
          <w:tcPr>
            <w:tcW w:w="4989" w:type="dxa"/>
            <w:vAlign w:val="center"/>
          </w:tcPr>
          <w:p w14:paraId="5679A028">
            <w:pPr>
              <w:spacing w:before="40" w:after="40" w:line="288" w:lineRule="auto"/>
              <w:ind w:firstLine="0"/>
              <w:jc w:val="left"/>
            </w:pPr>
            <w:r>
              <w:rPr>
                <w:rFonts w:ascii="Times New Roman" w:hAnsi="Times New Roman" w:eastAsia="宋体" w:cs="Times New Roman"/>
                <w:b w:val="0"/>
                <w:i w:val="0"/>
                <w:color w:val="000000"/>
                <w:sz w:val="21"/>
              </w:rPr>
              <w:t>中期检查及中期答辩</w:t>
            </w:r>
          </w:p>
        </w:tc>
        <w:tc>
          <w:tcPr>
            <w:tcW w:w="2721" w:type="dxa"/>
            <w:vAlign w:val="center"/>
          </w:tcPr>
          <w:p w14:paraId="28C9D9C3">
            <w:pPr>
              <w:spacing w:before="40" w:after="40" w:line="288" w:lineRule="auto"/>
              <w:ind w:firstLine="0"/>
              <w:jc w:val="center"/>
            </w:pPr>
            <w:r>
              <w:rPr>
                <w:rFonts w:ascii="Times New Roman" w:hAnsi="Times New Roman" w:eastAsia="宋体" w:cs="Times New Roman"/>
                <w:b w:val="0"/>
                <w:i w:val="0"/>
                <w:color w:val="000000"/>
                <w:sz w:val="21"/>
              </w:rPr>
              <w:t>2026.12.28~2027.1.15</w:t>
            </w:r>
            <w:r>
              <w:rPr>
                <w:rFonts w:ascii="Times New Roman" w:hAnsi="Times New Roman" w:eastAsia="宋体" w:cs="Times New Roman"/>
                <w:b w:val="0"/>
                <w:i w:val="0"/>
                <w:color w:val="000000"/>
                <w:sz w:val="21"/>
              </w:rPr>
              <w:br w:type="textWrapping"/>
            </w:r>
            <w:r>
              <w:rPr>
                <w:rFonts w:ascii="Times New Roman" w:hAnsi="Times New Roman" w:eastAsia="宋体" w:cs="Times New Roman"/>
                <w:b w:val="0"/>
                <w:i w:val="0"/>
                <w:color w:val="000000"/>
                <w:sz w:val="21"/>
              </w:rPr>
              <w:t>（第16~18周）</w:t>
            </w:r>
          </w:p>
        </w:tc>
      </w:tr>
      <w:tr w14:paraId="2066B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020" w:type="dxa"/>
            <w:vAlign w:val="center"/>
          </w:tcPr>
          <w:p w14:paraId="7EF6E581">
            <w:pPr>
              <w:spacing w:before="40" w:after="40" w:line="288" w:lineRule="auto"/>
              <w:ind w:firstLine="0"/>
              <w:jc w:val="center"/>
            </w:pPr>
            <w:r>
              <w:rPr>
                <w:rFonts w:ascii="Times New Roman" w:hAnsi="Times New Roman" w:eastAsia="宋体" w:cs="Times New Roman"/>
                <w:b w:val="0"/>
                <w:i w:val="0"/>
                <w:color w:val="000000"/>
                <w:sz w:val="21"/>
              </w:rPr>
              <w:t>8</w:t>
            </w:r>
          </w:p>
        </w:tc>
        <w:tc>
          <w:tcPr>
            <w:tcW w:w="4989" w:type="dxa"/>
            <w:vAlign w:val="center"/>
          </w:tcPr>
          <w:p w14:paraId="747F2E97">
            <w:pPr>
              <w:spacing w:before="40" w:after="40" w:line="288" w:lineRule="auto"/>
              <w:ind w:firstLine="0"/>
              <w:jc w:val="left"/>
            </w:pPr>
            <w:r>
              <w:rPr>
                <w:rFonts w:ascii="Times New Roman" w:hAnsi="Times New Roman" w:eastAsia="宋体" w:cs="Times New Roman"/>
                <w:b w:val="0"/>
                <w:i w:val="0"/>
                <w:color w:val="000000"/>
                <w:sz w:val="21"/>
              </w:rPr>
              <w:t>运动控制、八推进器控制分配及PX4/SITL闭环集成</w:t>
            </w:r>
          </w:p>
        </w:tc>
        <w:tc>
          <w:tcPr>
            <w:tcW w:w="2721" w:type="dxa"/>
            <w:vAlign w:val="center"/>
          </w:tcPr>
          <w:p w14:paraId="2D65BBF3">
            <w:pPr>
              <w:spacing w:before="40" w:after="40" w:line="288" w:lineRule="auto"/>
              <w:ind w:firstLine="0"/>
              <w:jc w:val="center"/>
            </w:pPr>
            <w:r>
              <w:rPr>
                <w:rFonts w:ascii="Times New Roman" w:hAnsi="Times New Roman" w:eastAsia="宋体" w:cs="Times New Roman"/>
                <w:b w:val="0"/>
                <w:i w:val="0"/>
                <w:color w:val="000000"/>
                <w:sz w:val="21"/>
              </w:rPr>
              <w:t>2027.2.22~2027.3.12</w:t>
            </w:r>
            <w:r>
              <w:rPr>
                <w:rFonts w:ascii="Times New Roman" w:hAnsi="Times New Roman" w:eastAsia="宋体" w:cs="Times New Roman"/>
                <w:b w:val="0"/>
                <w:i w:val="0"/>
                <w:color w:val="000000"/>
                <w:sz w:val="21"/>
              </w:rPr>
              <w:br w:type="textWrapping"/>
            </w:r>
            <w:r>
              <w:rPr>
                <w:rFonts w:ascii="Times New Roman" w:hAnsi="Times New Roman" w:eastAsia="宋体" w:cs="Times New Roman"/>
                <w:b w:val="0"/>
                <w:i w:val="0"/>
                <w:color w:val="000000"/>
                <w:sz w:val="21"/>
              </w:rPr>
              <w:t>（第1~3周）</w:t>
            </w:r>
          </w:p>
        </w:tc>
      </w:tr>
      <w:tr w14:paraId="2231F4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020" w:type="dxa"/>
            <w:vAlign w:val="center"/>
          </w:tcPr>
          <w:p w14:paraId="61BED497">
            <w:pPr>
              <w:spacing w:before="40" w:after="40" w:line="288" w:lineRule="auto"/>
              <w:ind w:firstLine="0"/>
              <w:jc w:val="center"/>
            </w:pPr>
            <w:r>
              <w:rPr>
                <w:rFonts w:ascii="Times New Roman" w:hAnsi="Times New Roman" w:eastAsia="宋体" w:cs="Times New Roman"/>
                <w:b w:val="0"/>
                <w:i w:val="0"/>
                <w:color w:val="000000"/>
                <w:sz w:val="21"/>
              </w:rPr>
              <w:t>9</w:t>
            </w:r>
          </w:p>
        </w:tc>
        <w:tc>
          <w:tcPr>
            <w:tcW w:w="4989" w:type="dxa"/>
            <w:vAlign w:val="center"/>
          </w:tcPr>
          <w:p w14:paraId="1D48DBDB">
            <w:pPr>
              <w:spacing w:before="40" w:after="40" w:line="288" w:lineRule="auto"/>
              <w:ind w:firstLine="0"/>
              <w:jc w:val="left"/>
            </w:pPr>
            <w:r>
              <w:rPr>
                <w:rFonts w:ascii="Times New Roman" w:hAnsi="Times New Roman" w:eastAsia="宋体" w:cs="Times New Roman"/>
                <w:b w:val="0"/>
                <w:i w:val="0"/>
                <w:color w:val="000000"/>
                <w:sz w:val="21"/>
              </w:rPr>
              <w:t>SITL闭环仿真、典型工况验证与结果分析</w:t>
            </w:r>
          </w:p>
        </w:tc>
        <w:tc>
          <w:tcPr>
            <w:tcW w:w="2721" w:type="dxa"/>
            <w:vAlign w:val="center"/>
          </w:tcPr>
          <w:p w14:paraId="1222A772">
            <w:pPr>
              <w:spacing w:before="40" w:after="40" w:line="288" w:lineRule="auto"/>
              <w:ind w:firstLine="0"/>
              <w:jc w:val="center"/>
            </w:pPr>
            <w:r>
              <w:rPr>
                <w:rFonts w:ascii="Times New Roman" w:hAnsi="Times New Roman" w:eastAsia="宋体" w:cs="Times New Roman"/>
                <w:b w:val="0"/>
                <w:i w:val="0"/>
                <w:color w:val="000000"/>
                <w:sz w:val="21"/>
              </w:rPr>
              <w:t>2027.3.15~2027.4.2</w:t>
            </w:r>
            <w:r>
              <w:rPr>
                <w:rFonts w:ascii="Times New Roman" w:hAnsi="Times New Roman" w:eastAsia="宋体" w:cs="Times New Roman"/>
                <w:b w:val="0"/>
                <w:i w:val="0"/>
                <w:color w:val="000000"/>
                <w:sz w:val="21"/>
              </w:rPr>
              <w:br w:type="textWrapping"/>
            </w:r>
            <w:r>
              <w:rPr>
                <w:rFonts w:ascii="Times New Roman" w:hAnsi="Times New Roman" w:eastAsia="宋体" w:cs="Times New Roman"/>
                <w:b w:val="0"/>
                <w:i w:val="0"/>
                <w:color w:val="000000"/>
                <w:sz w:val="21"/>
              </w:rPr>
              <w:t>（第4~6周）</w:t>
            </w:r>
          </w:p>
        </w:tc>
      </w:tr>
      <w:tr w14:paraId="704FD8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020" w:type="dxa"/>
            <w:vAlign w:val="center"/>
          </w:tcPr>
          <w:p w14:paraId="4B87F752">
            <w:pPr>
              <w:spacing w:before="40" w:after="40" w:line="288" w:lineRule="auto"/>
              <w:ind w:firstLine="0"/>
              <w:jc w:val="center"/>
            </w:pPr>
            <w:r>
              <w:rPr>
                <w:rFonts w:ascii="Times New Roman" w:hAnsi="Times New Roman" w:eastAsia="宋体" w:cs="Times New Roman"/>
                <w:b w:val="0"/>
                <w:i w:val="0"/>
                <w:color w:val="000000"/>
                <w:sz w:val="21"/>
              </w:rPr>
              <w:t>10</w:t>
            </w:r>
          </w:p>
        </w:tc>
        <w:tc>
          <w:tcPr>
            <w:tcW w:w="4989" w:type="dxa"/>
            <w:vAlign w:val="center"/>
          </w:tcPr>
          <w:p w14:paraId="5B8845DF">
            <w:pPr>
              <w:spacing w:before="40" w:after="40" w:line="288" w:lineRule="auto"/>
              <w:ind w:firstLine="0"/>
              <w:jc w:val="left"/>
            </w:pPr>
            <w:r>
              <w:rPr>
                <w:rFonts w:ascii="Times New Roman" w:hAnsi="Times New Roman" w:eastAsia="宋体" w:cs="Times New Roman"/>
                <w:b w:val="0"/>
                <w:i w:val="0"/>
                <w:color w:val="000000"/>
                <w:sz w:val="21"/>
              </w:rPr>
              <w:t>论文撰写与仿真补充</w:t>
            </w:r>
          </w:p>
        </w:tc>
        <w:tc>
          <w:tcPr>
            <w:tcW w:w="2721" w:type="dxa"/>
            <w:vAlign w:val="center"/>
          </w:tcPr>
          <w:p w14:paraId="73C5A019">
            <w:pPr>
              <w:spacing w:before="40" w:after="40" w:line="288" w:lineRule="auto"/>
              <w:ind w:firstLine="0"/>
              <w:jc w:val="center"/>
            </w:pPr>
            <w:r>
              <w:rPr>
                <w:rFonts w:ascii="Times New Roman" w:hAnsi="Times New Roman" w:eastAsia="宋体" w:cs="Times New Roman"/>
                <w:b w:val="0"/>
                <w:i w:val="0"/>
                <w:color w:val="000000"/>
                <w:sz w:val="21"/>
              </w:rPr>
              <w:t>2027.4.5~2027.4.16</w:t>
            </w:r>
            <w:r>
              <w:rPr>
                <w:rFonts w:ascii="Times New Roman" w:hAnsi="Times New Roman" w:eastAsia="宋体" w:cs="Times New Roman"/>
                <w:b w:val="0"/>
                <w:i w:val="0"/>
                <w:color w:val="000000"/>
                <w:sz w:val="21"/>
              </w:rPr>
              <w:br w:type="textWrapping"/>
            </w:r>
            <w:r>
              <w:rPr>
                <w:rFonts w:ascii="Times New Roman" w:hAnsi="Times New Roman" w:eastAsia="宋体" w:cs="Times New Roman"/>
                <w:b w:val="0"/>
                <w:i w:val="0"/>
                <w:color w:val="000000"/>
                <w:sz w:val="21"/>
              </w:rPr>
              <w:t>（第7~8周）</w:t>
            </w:r>
          </w:p>
        </w:tc>
      </w:tr>
      <w:tr w14:paraId="02167D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020" w:type="dxa"/>
            <w:vAlign w:val="center"/>
          </w:tcPr>
          <w:p w14:paraId="3FC29785">
            <w:pPr>
              <w:spacing w:before="40" w:after="40" w:line="288" w:lineRule="auto"/>
              <w:ind w:firstLine="0"/>
              <w:jc w:val="center"/>
            </w:pPr>
            <w:r>
              <w:rPr>
                <w:rFonts w:ascii="Times New Roman" w:hAnsi="Times New Roman" w:eastAsia="宋体" w:cs="Times New Roman"/>
                <w:b w:val="0"/>
                <w:i w:val="0"/>
                <w:color w:val="000000"/>
                <w:sz w:val="21"/>
              </w:rPr>
              <w:t>11</w:t>
            </w:r>
          </w:p>
        </w:tc>
        <w:tc>
          <w:tcPr>
            <w:tcW w:w="4989" w:type="dxa"/>
            <w:vAlign w:val="center"/>
          </w:tcPr>
          <w:p w14:paraId="3BC40F02">
            <w:pPr>
              <w:spacing w:before="40" w:after="40" w:line="288" w:lineRule="auto"/>
              <w:ind w:firstLine="0"/>
              <w:jc w:val="left"/>
            </w:pPr>
            <w:r>
              <w:rPr>
                <w:rFonts w:ascii="Times New Roman" w:hAnsi="Times New Roman" w:eastAsia="宋体" w:cs="Times New Roman"/>
                <w:b w:val="0"/>
                <w:i w:val="0"/>
                <w:color w:val="000000"/>
                <w:sz w:val="21"/>
              </w:rPr>
              <w:t>论文查重、导师评阅、专家评阅、学生修改完善论文并定稿、毕业答辩</w:t>
            </w:r>
          </w:p>
        </w:tc>
        <w:tc>
          <w:tcPr>
            <w:tcW w:w="2721" w:type="dxa"/>
            <w:vAlign w:val="center"/>
          </w:tcPr>
          <w:p w14:paraId="5F4CD093">
            <w:pPr>
              <w:spacing w:before="40" w:after="40" w:line="288" w:lineRule="auto"/>
              <w:ind w:firstLine="0"/>
              <w:jc w:val="center"/>
            </w:pPr>
            <w:r>
              <w:rPr>
                <w:rFonts w:ascii="Times New Roman" w:hAnsi="Times New Roman" w:eastAsia="宋体" w:cs="Times New Roman"/>
                <w:b w:val="0"/>
                <w:i w:val="0"/>
                <w:color w:val="000000"/>
                <w:sz w:val="21"/>
              </w:rPr>
              <w:t>2027.4.19~2027.4.28</w:t>
            </w:r>
            <w:r>
              <w:rPr>
                <w:rFonts w:ascii="Times New Roman" w:hAnsi="Times New Roman" w:eastAsia="宋体" w:cs="Times New Roman"/>
                <w:b w:val="0"/>
                <w:i w:val="0"/>
                <w:color w:val="000000"/>
                <w:sz w:val="21"/>
              </w:rPr>
              <w:br w:type="textWrapping"/>
            </w:r>
            <w:r>
              <w:rPr>
                <w:rFonts w:ascii="Times New Roman" w:hAnsi="Times New Roman" w:eastAsia="宋体" w:cs="Times New Roman"/>
                <w:b w:val="0"/>
                <w:i w:val="0"/>
                <w:color w:val="000000"/>
                <w:sz w:val="21"/>
              </w:rPr>
              <w:t>（第9~10周）</w:t>
            </w:r>
          </w:p>
        </w:tc>
      </w:tr>
      <w:tr w14:paraId="7CF9B0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020" w:type="dxa"/>
            <w:vAlign w:val="center"/>
          </w:tcPr>
          <w:p w14:paraId="4DC41EA7">
            <w:pPr>
              <w:spacing w:before="40" w:after="40" w:line="288" w:lineRule="auto"/>
              <w:ind w:firstLine="0"/>
              <w:jc w:val="center"/>
            </w:pPr>
            <w:r>
              <w:rPr>
                <w:rFonts w:ascii="Times New Roman" w:hAnsi="Times New Roman" w:eastAsia="宋体" w:cs="Times New Roman"/>
                <w:b w:val="0"/>
                <w:i w:val="0"/>
                <w:color w:val="000000"/>
                <w:sz w:val="21"/>
              </w:rPr>
              <w:t>12</w:t>
            </w:r>
          </w:p>
        </w:tc>
        <w:tc>
          <w:tcPr>
            <w:tcW w:w="4989" w:type="dxa"/>
            <w:vAlign w:val="center"/>
          </w:tcPr>
          <w:p w14:paraId="649CD924">
            <w:pPr>
              <w:spacing w:before="40" w:after="40" w:line="288" w:lineRule="auto"/>
              <w:ind w:firstLine="0"/>
              <w:jc w:val="left"/>
            </w:pPr>
            <w:r>
              <w:rPr>
                <w:rFonts w:ascii="Times New Roman" w:hAnsi="Times New Roman" w:eastAsia="宋体" w:cs="Times New Roman"/>
                <w:b w:val="0"/>
                <w:i w:val="0"/>
                <w:color w:val="000000"/>
                <w:sz w:val="21"/>
              </w:rPr>
              <w:t>论文评优、论文各类资料（书面版和电子版）整理、归档</w:t>
            </w:r>
          </w:p>
        </w:tc>
        <w:tc>
          <w:tcPr>
            <w:tcW w:w="2721" w:type="dxa"/>
            <w:vAlign w:val="center"/>
          </w:tcPr>
          <w:p w14:paraId="1AC1D26D">
            <w:pPr>
              <w:spacing w:before="40" w:after="40" w:line="288" w:lineRule="auto"/>
              <w:ind w:firstLine="0"/>
              <w:jc w:val="center"/>
            </w:pPr>
            <w:r>
              <w:rPr>
                <w:rFonts w:ascii="Times New Roman" w:hAnsi="Times New Roman" w:eastAsia="宋体" w:cs="Times New Roman"/>
                <w:b w:val="0"/>
                <w:i w:val="0"/>
                <w:color w:val="000000"/>
                <w:sz w:val="21"/>
              </w:rPr>
              <w:t>2027.5.3~2027.5.14</w:t>
            </w:r>
            <w:r>
              <w:rPr>
                <w:rFonts w:ascii="Times New Roman" w:hAnsi="Times New Roman" w:eastAsia="宋体" w:cs="Times New Roman"/>
                <w:b w:val="0"/>
                <w:i w:val="0"/>
                <w:color w:val="000000"/>
                <w:sz w:val="21"/>
              </w:rPr>
              <w:br w:type="textWrapping"/>
            </w:r>
            <w:r>
              <w:rPr>
                <w:rFonts w:ascii="Times New Roman" w:hAnsi="Times New Roman" w:eastAsia="宋体" w:cs="Times New Roman"/>
                <w:b w:val="0"/>
                <w:i w:val="0"/>
                <w:color w:val="000000"/>
                <w:sz w:val="21"/>
              </w:rPr>
              <w:t>（第11~12周）</w:t>
            </w:r>
          </w:p>
        </w:tc>
      </w:tr>
    </w:tbl>
    <w:p w14:paraId="60FA99AC">
      <w:pPr>
        <w:spacing w:before="120" w:beforeLines="50" w:after="120" w:afterLines="50" w:line="360" w:lineRule="auto"/>
        <w:ind w:firstLine="560"/>
        <w:jc w:val="both"/>
      </w:pPr>
      <w:r>
        <w:rPr>
          <w:rFonts w:ascii="Times New Roman" w:hAnsi="Times New Roman" w:eastAsia="黑体" w:cs="Times New Roman"/>
          <w:b w:val="0"/>
          <w:i w:val="0"/>
          <w:color w:val="000000"/>
          <w:sz w:val="28"/>
        </w:rPr>
        <w:t>三、毕业论文的主要参考文献</w:t>
      </w:r>
    </w:p>
    <w:p w14:paraId="5CCB66F6">
      <w:pPr>
        <w:pStyle w:val="11"/>
        <w:spacing w:line="360" w:lineRule="auto"/>
        <w:ind w:left="420" w:hanging="420"/>
        <w:jc w:val="both"/>
      </w:pPr>
      <w:bookmarkStart w:id="0" w:name="_Ref_Paper_1"/>
      <w:r>
        <w:rPr>
          <w:rFonts w:ascii="Times New Roman" w:hAnsi="Times New Roman" w:eastAsia="宋体" w:cs="Times New Roman"/>
          <w:b w:val="0"/>
          <w:i w:val="0"/>
          <w:color w:val="000000"/>
          <w:sz w:val="24"/>
          <w:highlight w:val="yellow"/>
        </w:rPr>
        <w:t>[1] 工业和信息化部, 教育部, 科学技术部, 等. 关于印发《“机器人+”应用行动实施方案》的通知: 工信部联通装〔2023〕6号[EB/OL]. (2023-01-18) [2026-09-28]. http://www.gov.cn/zhengce/zhengceku/2023-01/19/content_5737976.htm.</w:t>
      </w:r>
      <w:bookmarkEnd w:id="0"/>
    </w:p>
    <w:p w14:paraId="63AD7150">
      <w:pPr>
        <w:pStyle w:val="11"/>
        <w:spacing w:line="360" w:lineRule="auto"/>
        <w:ind w:left="420" w:hanging="420"/>
        <w:jc w:val="both"/>
      </w:pPr>
      <w:bookmarkStart w:id="1" w:name="_Ref_Paper_2"/>
      <w:r>
        <w:rPr>
          <w:rFonts w:ascii="Times New Roman" w:hAnsi="Times New Roman" w:eastAsia="宋体" w:cs="Times New Roman"/>
          <w:b w:val="0"/>
          <w:i w:val="0"/>
          <w:color w:val="000000"/>
          <w:sz w:val="24"/>
          <w:highlight w:val="yellow"/>
        </w:rPr>
        <w:t>[2]</w:t>
      </w:r>
      <w:r>
        <w:rPr>
          <w:rFonts w:ascii="Times New Roman" w:hAnsi="Times New Roman" w:eastAsia="宋体" w:cs="Times New Roman"/>
          <w:b w:val="0"/>
          <w:i w:val="0"/>
          <w:color w:val="000000"/>
          <w:sz w:val="24"/>
        </w:rPr>
        <w:t xml:space="preserve"> Fossen T I. Handbook of Marine Craft Hydrodynamics and Motion Control[M]. 2nd ed. Chichester, UK: John Wiley &amp; Sons, 2021. DOI: 10.1002/9781119575016.</w:t>
      </w:r>
      <w:bookmarkEnd w:id="1"/>
    </w:p>
    <w:p w14:paraId="1718533A">
      <w:pPr>
        <w:pStyle w:val="11"/>
        <w:spacing w:line="360" w:lineRule="auto"/>
        <w:ind w:left="420" w:hanging="420"/>
        <w:jc w:val="both"/>
      </w:pPr>
      <w:bookmarkStart w:id="2" w:name="_Ref_Paper_3"/>
      <w:r>
        <w:rPr>
          <w:rFonts w:ascii="Times New Roman" w:hAnsi="Times New Roman" w:eastAsia="宋体" w:cs="Times New Roman"/>
          <w:b w:val="0"/>
          <w:i w:val="0"/>
          <w:color w:val="000000"/>
          <w:sz w:val="24"/>
          <w:highlight w:val="yellow"/>
        </w:rPr>
        <w:t>[3]</w:t>
      </w:r>
      <w:r>
        <w:rPr>
          <w:rFonts w:ascii="Times New Roman" w:hAnsi="Times New Roman" w:eastAsia="宋体" w:cs="Times New Roman"/>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2"/>
    </w:p>
    <w:p w14:paraId="7A45C66E">
      <w:pPr>
        <w:pStyle w:val="11"/>
        <w:spacing w:line="360" w:lineRule="auto"/>
        <w:ind w:left="420" w:hanging="420"/>
        <w:jc w:val="both"/>
      </w:pPr>
      <w:bookmarkStart w:id="3" w:name="_Ref_Paper_4"/>
      <w:r>
        <w:rPr>
          <w:rFonts w:ascii="Times New Roman" w:hAnsi="Times New Roman" w:eastAsia="宋体" w:cs="Times New Roman"/>
          <w:b w:val="0"/>
          <w:i w:val="0"/>
          <w:color w:val="000000"/>
          <w:sz w:val="24"/>
          <w:highlight w:val="yellow"/>
        </w:rPr>
        <w:t>[4]</w:t>
      </w:r>
      <w:r>
        <w:rPr>
          <w:rFonts w:ascii="Times New Roman" w:hAnsi="Times New Roman" w:eastAsia="宋体" w:cs="Times New Roman"/>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3"/>
    </w:p>
    <w:p w14:paraId="06B81C67">
      <w:pPr>
        <w:pStyle w:val="11"/>
        <w:spacing w:line="360" w:lineRule="auto"/>
        <w:ind w:left="420" w:hanging="420"/>
        <w:jc w:val="both"/>
      </w:pPr>
      <w:bookmarkStart w:id="4" w:name="_Ref_Paper_5"/>
      <w:r>
        <w:rPr>
          <w:rFonts w:ascii="Times New Roman" w:hAnsi="Times New Roman" w:eastAsia="宋体" w:cs="Times New Roman"/>
          <w:b w:val="0"/>
          <w:i w:val="0"/>
          <w:color w:val="000000"/>
          <w:sz w:val="24"/>
          <w:highlight w:val="yellow"/>
        </w:rPr>
        <w:t>[5]</w:t>
      </w:r>
      <w:r>
        <w:rPr>
          <w:rFonts w:ascii="Times New Roman" w:hAnsi="Times New Roman" w:eastAsia="宋体" w:cs="Times New Roman"/>
          <w:b w:val="0"/>
          <w:i w:val="0"/>
          <w:color w:val="000000"/>
          <w:sz w:val="24"/>
        </w:rPr>
        <w:t xml:space="preserve"> Avila J P J, Donha D C, Adamowski J C. Experimental model identification of open-frame underwater vehicles[J]. Ocean Engineering, 2013, 60: 81-94. DOI: 10.1016/j.oceaneng.2012.10.007.</w:t>
      </w:r>
      <w:bookmarkEnd w:id="4"/>
    </w:p>
    <w:p w14:paraId="1E9489C5">
      <w:pPr>
        <w:pStyle w:val="11"/>
        <w:spacing w:line="360" w:lineRule="auto"/>
        <w:ind w:left="420" w:hanging="420"/>
        <w:jc w:val="both"/>
      </w:pPr>
      <w:bookmarkStart w:id="5" w:name="_Ref_Paper_6"/>
      <w:r>
        <w:rPr>
          <w:rFonts w:ascii="Times New Roman" w:hAnsi="Times New Roman" w:eastAsia="宋体" w:cs="Times New Roman"/>
          <w:b w:val="0"/>
          <w:i w:val="0"/>
          <w:color w:val="000000"/>
          <w:sz w:val="24"/>
          <w:highlight w:val="yellow"/>
        </w:rPr>
        <w:t>[6]</w:t>
      </w:r>
      <w:r>
        <w:rPr>
          <w:rFonts w:ascii="Times New Roman" w:hAnsi="Times New Roman" w:eastAsia="宋体" w:cs="Times New Roman"/>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5"/>
    </w:p>
    <w:p w14:paraId="35393F1E">
      <w:pPr>
        <w:pStyle w:val="11"/>
        <w:spacing w:line="360" w:lineRule="auto"/>
        <w:ind w:left="420" w:hanging="420"/>
        <w:jc w:val="both"/>
      </w:pPr>
      <w:bookmarkStart w:id="6" w:name="_Ref_Paper_7"/>
      <w:r>
        <w:rPr>
          <w:rFonts w:ascii="Times New Roman" w:hAnsi="Times New Roman" w:eastAsia="宋体" w:cs="Times New Roman"/>
          <w:b w:val="0"/>
          <w:i w:val="0"/>
          <w:color w:val="000000"/>
          <w:sz w:val="24"/>
          <w:highlight w:val="yellow"/>
        </w:rPr>
        <w:t>[7]</w:t>
      </w:r>
      <w:r>
        <w:rPr>
          <w:rFonts w:ascii="Times New Roman" w:hAnsi="Times New Roman" w:eastAsia="宋体" w:cs="Times New Roman"/>
          <w:b w:val="0"/>
          <w:i w:val="0"/>
          <w:color w:val="000000"/>
          <w:sz w:val="24"/>
        </w:rPr>
        <w:t xml:space="preserve"> 高婷, 庞永杰, 王亚星, 等. 水下航行器水动力系数计算方法[J]. 哈尔滨工程大学学报, 2019, 40(1): 174-180.</w:t>
      </w:r>
      <w:bookmarkEnd w:id="6"/>
    </w:p>
    <w:p w14:paraId="017D2EF7">
      <w:pPr>
        <w:pStyle w:val="11"/>
        <w:spacing w:line="360" w:lineRule="auto"/>
        <w:ind w:left="420" w:hanging="420"/>
        <w:jc w:val="both"/>
      </w:pPr>
      <w:bookmarkStart w:id="7" w:name="_Ref_Paper_8"/>
      <w:r>
        <w:rPr>
          <w:rFonts w:ascii="Times New Roman" w:hAnsi="Times New Roman" w:eastAsia="宋体" w:cs="Times New Roman"/>
          <w:b w:val="0"/>
          <w:i w:val="0"/>
          <w:color w:val="000000"/>
          <w:sz w:val="24"/>
          <w:highlight w:val="yellow"/>
        </w:rPr>
        <w:t>[8] von Benzon M, Sørensen F F, Uth E, et al. An Open-Source Benchmark Simulator: Control of a BlueROV2 Underwater Robot[J]. Journal of Marine Science and Engineering, 2022, 10(12): 1898. DOI: 10.3390/jmse10121898.</w:t>
      </w:r>
      <w:bookmarkEnd w:id="7"/>
    </w:p>
    <w:p w14:paraId="12C38BF9">
      <w:pPr>
        <w:pStyle w:val="11"/>
        <w:spacing w:line="360" w:lineRule="auto"/>
        <w:ind w:left="420" w:hanging="420"/>
        <w:jc w:val="both"/>
      </w:pPr>
      <w:bookmarkStart w:id="8" w:name="_Ref_Paper_9"/>
      <w:r>
        <w:rPr>
          <w:rFonts w:ascii="Times New Roman" w:hAnsi="Times New Roman" w:eastAsia="宋体" w:cs="Times New Roman"/>
          <w:b w:val="0"/>
          <w:i w:val="0"/>
          <w:color w:val="000000"/>
          <w:sz w:val="24"/>
        </w:rPr>
        <w:t>[9]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8"/>
    </w:p>
    <w:p w14:paraId="48B0A34F">
      <w:pPr>
        <w:pStyle w:val="11"/>
        <w:spacing w:line="360" w:lineRule="auto"/>
        <w:ind w:left="420" w:hanging="420"/>
        <w:jc w:val="both"/>
      </w:pPr>
      <w:bookmarkStart w:id="9" w:name="_Ref_Paper_10"/>
      <w:r>
        <w:rPr>
          <w:rFonts w:ascii="Times New Roman" w:hAnsi="Times New Roman" w:eastAsia="宋体" w:cs="Times New Roman"/>
          <w:b w:val="0"/>
          <w:i w:val="0"/>
          <w:color w:val="000000"/>
          <w:sz w:val="24"/>
        </w:rPr>
        <w:t>[10] Chu Z, Xiang X, Zhu D, et al. Adaptive trajectory tracking control for remotely operated vehicles considering thruster dynamics and saturation constraints[J]. ISA Transactions, 2020, 100: 28-37. DOI: 10.1016/j.isatra.2019.11.032.</w:t>
      </w:r>
      <w:bookmarkEnd w:id="9"/>
    </w:p>
    <w:p w14:paraId="38FAC5F8">
      <w:pPr>
        <w:pStyle w:val="11"/>
        <w:spacing w:line="360" w:lineRule="auto"/>
        <w:ind w:left="420" w:hanging="420"/>
        <w:jc w:val="both"/>
      </w:pPr>
      <w:bookmarkStart w:id="10" w:name="_Ref_Paper_11"/>
      <w:r>
        <w:rPr>
          <w:rFonts w:ascii="Times New Roman" w:hAnsi="Times New Roman" w:eastAsia="宋体" w:cs="Times New Roman"/>
          <w:b w:val="0"/>
          <w:i w:val="0"/>
          <w:color w:val="000000"/>
          <w:sz w:val="24"/>
          <w:highlight w:val="yellow"/>
        </w:rPr>
        <w:t>[11]</w:t>
      </w:r>
      <w:r>
        <w:rPr>
          <w:rFonts w:ascii="Times New Roman" w:hAnsi="Times New Roman" w:eastAsia="宋体" w:cs="Times New Roman"/>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0"/>
    </w:p>
    <w:p w14:paraId="1AFB0B5A">
      <w:pPr>
        <w:pStyle w:val="11"/>
        <w:spacing w:line="360" w:lineRule="auto"/>
        <w:ind w:left="420" w:hanging="420"/>
        <w:jc w:val="both"/>
      </w:pPr>
      <w:bookmarkStart w:id="11" w:name="_Ref_Paper_12"/>
      <w:r>
        <w:rPr>
          <w:rFonts w:ascii="Times New Roman" w:hAnsi="Times New Roman" w:eastAsia="宋体" w:cs="Times New Roman"/>
          <w:b w:val="0"/>
          <w:i w:val="0"/>
          <w:color w:val="000000"/>
          <w:sz w:val="24"/>
          <w:highlight w:val="yellow"/>
        </w:rPr>
        <w:t>[12] Johansen T A, Fossen T I. Control allocation—A survey[J]. Automatica, 2013, 49(5): 1087-1103. DOI: 10.1016/j.automatica.2013.01.035.</w:t>
      </w:r>
      <w:bookmarkEnd w:id="11"/>
    </w:p>
    <w:p w14:paraId="58F4963E">
      <w:pPr>
        <w:pStyle w:val="11"/>
        <w:spacing w:line="360" w:lineRule="auto"/>
        <w:ind w:left="420" w:hanging="420"/>
        <w:jc w:val="both"/>
      </w:pPr>
      <w:bookmarkStart w:id="12" w:name="_Ref_Paper_13"/>
      <w:r>
        <w:rPr>
          <w:rFonts w:ascii="Times New Roman" w:hAnsi="Times New Roman" w:eastAsia="宋体" w:cs="Times New Roman"/>
          <w:b w:val="0"/>
          <w:i w:val="0"/>
          <w:color w:val="000000"/>
          <w:sz w:val="24"/>
          <w:highlight w:val="yellow"/>
        </w:rPr>
        <w:t>[13] Fossen T I, Johansen T A. A survey of control allocation methods for ships and underwater vehicles[C]//2006 14th Mediterranean Conference on Control and Automation. Ancona, Italy: IEEE, 2006: 1-6. DOI: 10.1109/MED.2006.328749.</w:t>
      </w:r>
      <w:bookmarkEnd w:id="12"/>
    </w:p>
    <w:p w14:paraId="4CF71D1E">
      <w:pPr>
        <w:pStyle w:val="11"/>
        <w:spacing w:line="360" w:lineRule="auto"/>
        <w:ind w:left="420" w:hanging="420"/>
        <w:jc w:val="both"/>
      </w:pPr>
      <w:bookmarkStart w:id="13" w:name="_Ref_Paper_14"/>
      <w:r>
        <w:rPr>
          <w:rFonts w:ascii="Times New Roman" w:hAnsi="Times New Roman" w:eastAsia="宋体" w:cs="Times New Roman"/>
          <w:b w:val="0"/>
          <w:i w:val="0"/>
          <w:color w:val="000000"/>
          <w:sz w:val="24"/>
          <w:highlight w:val="yellow"/>
        </w:rPr>
        <w:t>[14]</w:t>
      </w:r>
      <w:r>
        <w:rPr>
          <w:rFonts w:ascii="Times New Roman" w:hAnsi="Times New Roman" w:eastAsia="宋体" w:cs="Times New Roman"/>
          <w:b w:val="0"/>
          <w:i w:val="0"/>
          <w:color w:val="000000"/>
          <w:sz w:val="24"/>
        </w:rPr>
        <w:t xml:space="preserve"> 程卫平, 王猛, 曾现敏, 等. 基于可行方向法的水下机器人推力分配[J]. 舰船科学技术, 2022, 44(13): 102-106.</w:t>
      </w:r>
      <w:bookmarkEnd w:id="13"/>
    </w:p>
    <w:p w14:paraId="1B3A3A8A">
      <w:pPr>
        <w:pStyle w:val="11"/>
        <w:spacing w:line="360" w:lineRule="auto"/>
        <w:ind w:left="420" w:hanging="420"/>
        <w:jc w:val="both"/>
      </w:pPr>
      <w:bookmarkStart w:id="14" w:name="_Ref_Paper_15"/>
      <w:r>
        <w:rPr>
          <w:rFonts w:ascii="Times New Roman" w:hAnsi="Times New Roman" w:eastAsia="宋体" w:cs="Times New Roman"/>
          <w:b w:val="0"/>
          <w:i w:val="0"/>
          <w:color w:val="000000"/>
          <w:sz w:val="24"/>
          <w:highlight w:val="yellow"/>
        </w:rPr>
        <w:t>[15]</w:t>
      </w:r>
      <w:r>
        <w:rPr>
          <w:rFonts w:ascii="Times New Roman" w:hAnsi="Times New Roman" w:eastAsia="宋体" w:cs="Times New Roman"/>
          <w:b w:val="0"/>
          <w:i w:val="0"/>
          <w:color w:val="000000"/>
          <w:sz w:val="24"/>
        </w:rPr>
        <w:t xml:space="preserve"> 孙广威, 苏玉玺, 毛义, 等. 基于模糊逻辑的混合推进ROV多级推力分配策略[J]. 机器人, 2023, 45(4): 472-482.</w:t>
      </w:r>
      <w:bookmarkEnd w:id="14"/>
    </w:p>
    <w:p w14:paraId="7D8CA21F">
      <w:pPr>
        <w:pStyle w:val="11"/>
        <w:spacing w:line="360" w:lineRule="auto"/>
        <w:ind w:left="420" w:hanging="420"/>
        <w:jc w:val="both"/>
      </w:pPr>
      <w:bookmarkStart w:id="15" w:name="_Ref_Paper_16"/>
      <w:r>
        <w:rPr>
          <w:rFonts w:ascii="Times New Roman" w:hAnsi="Times New Roman" w:eastAsia="宋体" w:cs="Times New Roman"/>
          <w:b w:val="0"/>
          <w:i w:val="0"/>
          <w:color w:val="000000"/>
          <w:sz w:val="24"/>
          <w:highlight w:val="yellow"/>
        </w:rPr>
        <w:t>[16]</w:t>
      </w:r>
      <w:r>
        <w:rPr>
          <w:rFonts w:ascii="Times New Roman" w:hAnsi="Times New Roman" w:eastAsia="宋体" w:cs="Times New Roman"/>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5"/>
    </w:p>
    <w:p w14:paraId="6DDD8429">
      <w:pPr>
        <w:pStyle w:val="11"/>
        <w:spacing w:line="360" w:lineRule="auto"/>
        <w:ind w:left="420" w:hanging="420"/>
        <w:jc w:val="both"/>
      </w:pPr>
      <w:bookmarkStart w:id="16" w:name="_Ref_Paper_17"/>
      <w:r>
        <w:rPr>
          <w:rFonts w:ascii="Times New Roman" w:hAnsi="Times New Roman" w:eastAsia="宋体" w:cs="Times New Roman"/>
          <w:b w:val="0"/>
          <w:i w:val="0"/>
          <w:color w:val="000000"/>
          <w:sz w:val="24"/>
          <w:highlight w:val="yellow"/>
        </w:rPr>
        <w:t>[17]</w:t>
      </w:r>
      <w:r>
        <w:rPr>
          <w:rFonts w:ascii="Times New Roman" w:hAnsi="Times New Roman" w:eastAsia="宋体" w:cs="Times New Roman"/>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6"/>
    </w:p>
    <w:p w14:paraId="2CA8248D">
      <w:pPr>
        <w:spacing w:before="120" w:beforeLines="50" w:after="120" w:afterLines="50" w:line="360" w:lineRule="auto"/>
        <w:ind w:firstLine="560"/>
        <w:jc w:val="both"/>
        <w:rPr>
          <w:rFonts w:hint="eastAsia" w:ascii="黑体" w:eastAsia="黑体"/>
          <w:sz w:val="28"/>
        </w:rPr>
      </w:pPr>
      <w:r>
        <w:rPr>
          <w:rFonts w:ascii="Times New Roman" w:hAnsi="Times New Roman" w:eastAsia="黑体" w:cs="Times New Roman"/>
          <w:b w:val="0"/>
          <w:i w:val="0"/>
          <w:color w:val="000000"/>
          <w:sz w:val="28"/>
        </w:rPr>
        <w:t>四、审核意见</w:t>
      </w:r>
    </w:p>
    <w:tbl>
      <w:tblPr>
        <w:tblStyle w:val="5"/>
        <w:tblW w:w="850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0"/>
      </w:tblGrid>
      <w:tr w14:paraId="3A9B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068" w:hRule="atLeast"/>
        </w:trPr>
        <w:tc>
          <w:tcPr>
            <w:tcW w:w="8500" w:type="dxa"/>
            <w:vAlign w:val="bottom"/>
          </w:tcPr>
          <w:p w14:paraId="498EEE18">
            <w:pPr>
              <w:spacing w:line="360" w:lineRule="exact"/>
              <w:ind w:firstLine="480"/>
              <w:rPr>
                <w:rFonts w:hint="eastAsia" w:ascii="宋体" w:hAnsi="宋体"/>
                <w:szCs w:val="21"/>
              </w:rPr>
            </w:pPr>
            <w:r>
              <w:rPr>
                <w:rFonts w:ascii="黑体" w:hAnsi="宋体" w:eastAsia="黑体"/>
                <w:szCs w:val="24"/>
              </w:rPr>
              <w:t>指导教师意见：</w:t>
            </w:r>
          </w:p>
          <w:p w14:paraId="0B50E364">
            <w:pPr>
              <w:spacing w:line="360" w:lineRule="exact"/>
              <w:ind w:firstLine="480"/>
              <w:rPr>
                <w:rFonts w:hint="eastAsia" w:ascii="宋体" w:hAnsi="宋体"/>
                <w:color w:val="ADADAD"/>
                <w:szCs w:val="24"/>
              </w:rPr>
            </w:pPr>
            <w:r>
              <w:rPr>
                <w:rFonts w:ascii="宋体" w:hAnsi="宋体"/>
                <w:color w:val="ADADAD"/>
                <w:szCs w:val="24"/>
              </w:rPr>
              <w:t>（课题难度是否适中、工作量是否饱满、进度安排是否合理、工作条件是否具备、是否同意开题等）</w:t>
            </w:r>
          </w:p>
          <w:p w14:paraId="3930308C">
            <w:pPr>
              <w:pStyle w:val="10"/>
              <w:ind w:firstLine="480"/>
              <w:rPr>
                <w:rFonts w:hint="eastAsia"/>
              </w:rPr>
            </w:pPr>
          </w:p>
          <w:p w14:paraId="08C32DB3">
            <w:pPr>
              <w:pStyle w:val="10"/>
              <w:ind w:firstLine="480"/>
              <w:rPr>
                <w:rFonts w:hint="eastAsia"/>
              </w:rPr>
            </w:pPr>
          </w:p>
          <w:p w14:paraId="42BCE067">
            <w:pPr>
              <w:pStyle w:val="10"/>
              <w:ind w:firstLine="480"/>
              <w:rPr>
                <w:rFonts w:hint="eastAsia"/>
              </w:rPr>
            </w:pPr>
          </w:p>
          <w:p w14:paraId="62F9A7FB">
            <w:pPr>
              <w:pStyle w:val="10"/>
              <w:ind w:firstLine="480"/>
              <w:rPr>
                <w:rFonts w:hint="eastAsia"/>
              </w:rPr>
            </w:pPr>
          </w:p>
          <w:p w14:paraId="1EAE3CD9">
            <w:pPr>
              <w:pStyle w:val="10"/>
              <w:ind w:firstLine="480"/>
              <w:rPr>
                <w:rFonts w:hint="eastAsia"/>
              </w:rPr>
            </w:pPr>
          </w:p>
          <w:p w14:paraId="1D61238E">
            <w:pPr>
              <w:pStyle w:val="10"/>
              <w:ind w:firstLine="480"/>
              <w:rPr>
                <w:rFonts w:hint="eastAsia"/>
              </w:rPr>
            </w:pPr>
          </w:p>
          <w:p w14:paraId="329DC671">
            <w:pPr>
              <w:pStyle w:val="10"/>
              <w:ind w:firstLine="480"/>
              <w:rPr>
                <w:rFonts w:hint="eastAsia"/>
              </w:rPr>
            </w:pPr>
          </w:p>
          <w:p w14:paraId="69D2BE4E">
            <w:pPr>
              <w:ind w:firstLine="5520" w:firstLineChars="2300"/>
              <w:rPr>
                <w:rFonts w:hint="eastAsia" w:ascii="黑体" w:hAnsi="宋体" w:eastAsia="黑体"/>
                <w:szCs w:val="24"/>
              </w:rPr>
            </w:pPr>
            <w:r>
              <w:rPr>
                <w:rFonts w:hint="eastAsia" w:ascii="黑体" w:hAnsi="宋体" w:eastAsia="黑体"/>
                <w:szCs w:val="24"/>
              </w:rPr>
              <w:t>指导教师签名</w:t>
            </w:r>
            <w:r>
              <w:rPr>
                <w:rFonts w:hint="eastAsia" w:ascii="黑体" w:hAnsi="宋体" w:eastAsia="黑体"/>
                <w:szCs w:val="24"/>
                <w:u w:val="single"/>
              </w:rPr>
              <w:t xml:space="preserve">       </w:t>
            </w:r>
          </w:p>
          <w:p w14:paraId="54DBADB2">
            <w:pPr>
              <w:ind w:firstLine="480"/>
              <w:jc w:val="center"/>
              <w:rPr>
                <w:rFonts w:hint="eastAsia" w:ascii="黑体" w:hAnsi="宋体" w:eastAsia="黑体"/>
                <w:szCs w:val="24"/>
              </w:rPr>
            </w:pPr>
            <w:r>
              <w:rPr>
                <w:rFonts w:hint="eastAsia" w:ascii="宋体" w:hAnsi="宋体"/>
                <w:szCs w:val="24"/>
              </w:rPr>
              <w:t xml:space="preserve">                                        </w:t>
            </w:r>
            <w:r>
              <w:rPr>
                <w:rFonts w:hint="eastAsia" w:ascii="宋体" w:hAnsi="宋体"/>
                <w:szCs w:val="24"/>
                <w:u w:val="single"/>
              </w:rPr>
              <w:t xml:space="preserve">   </w:t>
            </w:r>
            <w:r>
              <w:rPr>
                <w:rFonts w:hint="eastAsia" w:ascii="黑体" w:hAnsi="宋体" w:eastAsia="黑体"/>
                <w:szCs w:val="24"/>
              </w:rPr>
              <w:t>年</w:t>
            </w:r>
            <w:r>
              <w:rPr>
                <w:rFonts w:hint="eastAsia" w:ascii="宋体" w:hAnsi="宋体"/>
                <w:szCs w:val="24"/>
                <w:u w:val="single"/>
              </w:rPr>
              <w:t xml:space="preserve">   </w:t>
            </w:r>
            <w:r>
              <w:rPr>
                <w:rFonts w:hint="eastAsia" w:ascii="黑体" w:hAnsi="宋体" w:eastAsia="黑体"/>
                <w:szCs w:val="24"/>
              </w:rPr>
              <w:t>月</w:t>
            </w:r>
            <w:r>
              <w:rPr>
                <w:rFonts w:hint="eastAsia" w:ascii="宋体" w:hAnsi="宋体"/>
                <w:szCs w:val="24"/>
                <w:u w:val="single"/>
              </w:rPr>
              <w:t xml:space="preserve">   </w:t>
            </w:r>
            <w:r>
              <w:rPr>
                <w:rFonts w:hint="eastAsia" w:ascii="黑体" w:hAnsi="宋体" w:eastAsia="黑体"/>
                <w:szCs w:val="24"/>
              </w:rPr>
              <w:t>日</w:t>
            </w:r>
          </w:p>
          <w:p w14:paraId="0AA36D12">
            <w:pPr>
              <w:ind w:firstLine="560"/>
              <w:jc w:val="center"/>
              <w:rPr>
                <w:rFonts w:hint="eastAsia" w:ascii="宋体" w:hAnsi="宋体"/>
                <w:sz w:val="28"/>
              </w:rPr>
            </w:pPr>
          </w:p>
        </w:tc>
      </w:tr>
      <w:tr w14:paraId="4FEE1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65" w:hRule="atLeast"/>
        </w:trPr>
        <w:tc>
          <w:tcPr>
            <w:tcW w:w="8500" w:type="dxa"/>
            <w:vAlign w:val="bottom"/>
          </w:tcPr>
          <w:p w14:paraId="0BA4A45F">
            <w:pPr>
              <w:ind w:firstLine="480"/>
              <w:rPr>
                <w:rFonts w:hint="eastAsia" w:ascii="黑体" w:hAnsi="楷体" w:eastAsia="黑体"/>
                <w:szCs w:val="24"/>
              </w:rPr>
            </w:pPr>
            <w:r>
              <w:rPr>
                <w:rFonts w:hint="eastAsia" w:ascii="黑体" w:hAnsi="楷体" w:eastAsia="黑体"/>
                <w:szCs w:val="24"/>
              </w:rPr>
              <w:t>专业审核意见：</w:t>
            </w:r>
          </w:p>
          <w:p w14:paraId="464295D2">
            <w:pPr>
              <w:spacing w:line="360" w:lineRule="auto"/>
              <w:ind w:firstLine="480"/>
              <w:rPr>
                <w:rFonts w:hint="eastAsia" w:ascii="宋体" w:hAnsi="宋体"/>
                <w:color w:val="ADADAD"/>
                <w:szCs w:val="24"/>
              </w:rPr>
            </w:pPr>
            <w:r>
              <w:rPr>
                <w:rFonts w:hint="eastAsia" w:hAnsi="宋体"/>
                <w:color w:val="ADADAD"/>
                <w:szCs w:val="24"/>
              </w:rPr>
              <w:t>（适当对各项内容给与意见和评价，字数不限。）</w:t>
            </w:r>
          </w:p>
          <w:p w14:paraId="037A73CE">
            <w:pPr>
              <w:pStyle w:val="10"/>
              <w:ind w:firstLine="480"/>
              <w:rPr>
                <w:rFonts w:hint="eastAsia"/>
              </w:rPr>
            </w:pPr>
          </w:p>
          <w:p w14:paraId="0BB96980">
            <w:pPr>
              <w:pStyle w:val="10"/>
              <w:ind w:firstLine="480"/>
              <w:rPr>
                <w:rFonts w:hint="eastAsia"/>
              </w:rPr>
            </w:pPr>
          </w:p>
          <w:p w14:paraId="631107CC">
            <w:pPr>
              <w:pStyle w:val="10"/>
              <w:ind w:firstLine="480"/>
              <w:rPr>
                <w:rFonts w:hint="eastAsia"/>
              </w:rPr>
            </w:pPr>
          </w:p>
          <w:p w14:paraId="1F651512">
            <w:pPr>
              <w:pStyle w:val="10"/>
              <w:ind w:firstLine="480"/>
              <w:rPr>
                <w:rFonts w:hint="eastAsia"/>
              </w:rPr>
            </w:pPr>
          </w:p>
          <w:p w14:paraId="03E625F7">
            <w:pPr>
              <w:pStyle w:val="10"/>
              <w:ind w:firstLine="480"/>
              <w:rPr>
                <w:rFonts w:hint="eastAsia"/>
              </w:rPr>
            </w:pPr>
          </w:p>
          <w:p w14:paraId="2F4B20B7">
            <w:pPr>
              <w:ind w:firstLine="5760" w:firstLineChars="2400"/>
              <w:rPr>
                <w:rFonts w:hint="eastAsia" w:ascii="黑体" w:hAnsi="宋体" w:eastAsia="黑体"/>
                <w:szCs w:val="24"/>
              </w:rPr>
            </w:pPr>
            <w:r>
              <w:rPr>
                <w:rFonts w:hint="eastAsia" w:ascii="黑体" w:hAnsi="宋体" w:eastAsia="黑体"/>
                <w:szCs w:val="24"/>
              </w:rPr>
              <w:t>负责人签名</w:t>
            </w:r>
            <w:r>
              <w:rPr>
                <w:rFonts w:hint="eastAsia" w:ascii="黑体" w:hAnsi="宋体" w:eastAsia="黑体"/>
                <w:szCs w:val="24"/>
                <w:u w:val="single"/>
              </w:rPr>
              <w:t xml:space="preserve">      </w:t>
            </w:r>
          </w:p>
          <w:p w14:paraId="7032D7DB">
            <w:pPr>
              <w:ind w:firstLine="480"/>
              <w:jc w:val="center"/>
              <w:rPr>
                <w:rFonts w:hint="eastAsia" w:ascii="楷体" w:hAnsi="楷体" w:eastAsia="楷体"/>
                <w:szCs w:val="24"/>
              </w:rPr>
            </w:pPr>
            <w:r>
              <w:rPr>
                <w:rFonts w:hint="eastAsia" w:ascii="宋体" w:hAnsi="宋体"/>
                <w:szCs w:val="24"/>
              </w:rPr>
              <w:t xml:space="preserve">                                          </w:t>
            </w:r>
            <w:r>
              <w:rPr>
                <w:rFonts w:hint="eastAsia" w:ascii="宋体" w:hAnsi="宋体"/>
                <w:szCs w:val="24"/>
                <w:u w:val="single"/>
              </w:rPr>
              <w:t xml:space="preserve">   </w:t>
            </w:r>
            <w:r>
              <w:rPr>
                <w:rFonts w:hint="eastAsia" w:ascii="黑体" w:hAnsi="宋体" w:eastAsia="黑体"/>
                <w:szCs w:val="24"/>
              </w:rPr>
              <w:t>年</w:t>
            </w:r>
            <w:r>
              <w:rPr>
                <w:rFonts w:hint="eastAsia" w:ascii="宋体" w:hAnsi="宋体"/>
                <w:szCs w:val="24"/>
                <w:u w:val="single"/>
              </w:rPr>
              <w:t xml:space="preserve">   </w:t>
            </w:r>
            <w:r>
              <w:rPr>
                <w:rFonts w:hint="eastAsia" w:ascii="黑体" w:hAnsi="宋体" w:eastAsia="黑体"/>
                <w:szCs w:val="24"/>
              </w:rPr>
              <w:t>月</w:t>
            </w:r>
            <w:r>
              <w:rPr>
                <w:rFonts w:hint="eastAsia" w:ascii="宋体" w:hAnsi="宋体"/>
                <w:szCs w:val="24"/>
                <w:u w:val="single"/>
              </w:rPr>
              <w:t xml:space="preserve">   </w:t>
            </w:r>
            <w:r>
              <w:rPr>
                <w:rFonts w:hint="eastAsia" w:ascii="黑体" w:hAnsi="宋体" w:eastAsia="黑体"/>
                <w:szCs w:val="24"/>
              </w:rPr>
              <w:t>日</w:t>
            </w:r>
          </w:p>
          <w:p w14:paraId="698FE26B">
            <w:pPr>
              <w:ind w:firstLine="480"/>
              <w:jc w:val="center"/>
              <w:rPr>
                <w:rFonts w:hint="eastAsia" w:ascii="楷体" w:hAnsi="楷体" w:eastAsia="楷体"/>
              </w:rPr>
            </w:pPr>
          </w:p>
        </w:tc>
      </w:tr>
    </w:tbl>
    <w:p w14:paraId="7C2C33EF">
      <w:pPr>
        <w:ind w:firstLine="560"/>
        <w:jc w:val="left"/>
        <w:rPr>
          <w:rFonts w:hint="eastAsia" w:ascii="宋体" w:hAnsi="宋体"/>
          <w:sz w:val="28"/>
        </w:rPr>
      </w:pPr>
    </w:p>
    <w:p w14:paraId="46D16151">
      <w:pPr>
        <w:ind w:firstLine="480"/>
        <w:jc w:val="left"/>
        <w:rPr>
          <w:rFonts w:hint="eastAsia" w:ascii="宋体" w:hAnsi="宋体"/>
        </w:rPr>
      </w:pPr>
    </w:p>
    <w:sectPr>
      <w:pgSz w:w="11907" w:h="16840"/>
      <w:pgMar w:top="1304" w:right="1797" w:bottom="567" w:left="1797" w:header="720" w:footer="720" w:gutter="0"/>
      <w:cols w:space="425" w:num="1"/>
      <w:docGrid w:linePitch="27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 w:name="楷体">
    <w:panose1 w:val="02010609060101010101"/>
    <w:charset w:val="86"/>
    <w:family w:val="modern"/>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nforcement="0"/>
  <w:defaultTabStop w:val="425"/>
  <w:drawingGridHorizontalSpacing w:val="100"/>
  <w:drawingGridVerticalSpacing w:val="271"/>
  <w:displayHorizontalDrawingGridEvery w:val="2"/>
  <w:characterSpacingControl w:val="compressPunctuation"/>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 w:val="3E730D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lang w:val="en-US" w:eastAsia="zh-CN" w:bidi="ar-SA"/>
    </w:rPr>
  </w:style>
  <w:style w:type="character" w:default="1" w:styleId="6">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Balloon Text"/>
    <w:basedOn w:val="1"/>
    <w:semiHidden/>
    <w:qFormat/>
    <w:uiPriority w:val="0"/>
    <w:rPr>
      <w:sz w:val="18"/>
      <w:szCs w:val="18"/>
    </w:rPr>
  </w:style>
  <w:style w:type="paragraph" w:styleId="3">
    <w:name w:val="footer"/>
    <w:basedOn w:val="1"/>
    <w:link w:val="8"/>
    <w:uiPriority w:val="0"/>
    <w:pPr>
      <w:tabs>
        <w:tab w:val="center" w:pos="4153"/>
        <w:tab w:val="right" w:pos="8306"/>
      </w:tabs>
      <w:snapToGrid w:val="0"/>
      <w:jc w:val="left"/>
    </w:pPr>
    <w:rPr>
      <w:sz w:val="18"/>
      <w:szCs w:val="18"/>
    </w:rPr>
  </w:style>
  <w:style w:type="paragraph" w:styleId="4">
    <w:name w:val="header"/>
    <w:basedOn w:val="1"/>
    <w:link w:val="7"/>
    <w:uiPriority w:val="0"/>
    <w:pPr>
      <w:pBdr>
        <w:bottom w:val="single" w:color="auto" w:sz="6" w:space="1"/>
      </w:pBdr>
      <w:tabs>
        <w:tab w:val="center" w:pos="4153"/>
        <w:tab w:val="right" w:pos="8306"/>
      </w:tabs>
      <w:snapToGrid w:val="0"/>
      <w:jc w:val="center"/>
    </w:pPr>
    <w:rPr>
      <w:sz w:val="18"/>
      <w:szCs w:val="18"/>
    </w:rPr>
  </w:style>
  <w:style w:type="character" w:customStyle="1" w:styleId="7">
    <w:name w:val="页眉 Char"/>
    <w:link w:val="4"/>
    <w:qFormat/>
    <w:uiPriority w:val="0"/>
    <w:rPr>
      <w:kern w:val="2"/>
      <w:sz w:val="18"/>
      <w:szCs w:val="18"/>
    </w:rPr>
  </w:style>
  <w:style w:type="character" w:customStyle="1" w:styleId="8">
    <w:name w:val="页脚 Char"/>
    <w:link w:val="3"/>
    <w:uiPriority w:val="0"/>
    <w:rPr>
      <w:kern w:val="2"/>
      <w:sz w:val="18"/>
      <w:szCs w:val="18"/>
    </w:rPr>
  </w:style>
  <w:style w:type="paragraph" w:customStyle="1" w:styleId="9">
    <w:name w:val="条"/>
    <w:basedOn w:val="1"/>
    <w:qFormat/>
    <w:uiPriority w:val="0"/>
    <w:pPr>
      <w:snapToGrid w:val="0"/>
      <w:spacing w:before="50" w:beforeLines="50" w:after="50" w:afterLines="50" w:line="300" w:lineRule="auto"/>
    </w:pPr>
    <w:rPr>
      <w:rFonts w:eastAsia="黑体"/>
      <w:sz w:val="28"/>
      <w:szCs w:val="24"/>
    </w:rPr>
  </w:style>
  <w:style w:type="paragraph" w:customStyle="1" w:styleId="10">
    <w:name w:val="正文格式"/>
    <w:basedOn w:val="1"/>
    <w:link w:val="12"/>
    <w:qFormat/>
    <w:uiPriority w:val="0"/>
    <w:pPr>
      <w:spacing w:line="360" w:lineRule="auto"/>
      <w:ind w:firstLine="200" w:firstLineChars="200"/>
    </w:pPr>
    <w:rPr>
      <w:szCs w:val="24"/>
    </w:rPr>
  </w:style>
  <w:style w:type="paragraph" w:customStyle="1" w:styleId="11">
    <w:name w:val="参考文献"/>
    <w:basedOn w:val="1"/>
    <w:link w:val="13"/>
    <w:qFormat/>
    <w:uiPriority w:val="0"/>
    <w:pPr>
      <w:spacing w:line="360" w:lineRule="auto"/>
      <w:ind w:left="420" w:hanging="420"/>
      <w:textAlignment w:val="baseline"/>
    </w:pPr>
    <w:rPr>
      <w:rFonts w:cs="楷体_GB2312"/>
      <w:szCs w:val="24"/>
    </w:rPr>
  </w:style>
  <w:style w:type="character" w:customStyle="1" w:styleId="12">
    <w:name w:val="正文格式 字符"/>
    <w:link w:val="10"/>
    <w:qFormat/>
    <w:uiPriority w:val="0"/>
    <w:rPr>
      <w:kern w:val="2"/>
      <w:sz w:val="24"/>
      <w:szCs w:val="24"/>
    </w:rPr>
  </w:style>
  <w:style w:type="character" w:customStyle="1" w:styleId="13">
    <w:name w:val="参考文献 字符"/>
    <w:link w:val="11"/>
    <w:uiPriority w:val="0"/>
    <w:rPr>
      <w:rFonts w:cs="楷体_GB2312"/>
      <w:kern w:val="2"/>
      <w:sz w:val="24"/>
      <w:szCs w:val="24"/>
    </w:rPr>
  </w:style>
  <w:style w:type="paragraph" w:customStyle="1" w:styleId="14">
    <w:name w:val="Revision"/>
    <w:hidden/>
    <w:semiHidden/>
    <w:qFormat/>
    <w:uiPriority w:val="99"/>
    <w:rPr>
      <w:rFonts w:ascii="Times New Roman" w:hAnsi="Times New Roman" w:eastAsia="宋体" w:cs="Times New Roman"/>
      <w:kern w:val="2"/>
      <w:sz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Tongji University</Company>
  <Pages>17</Pages>
  <Words>9400</Words>
  <Characters>9986</Characters>
  <Lines>82</Lines>
  <Paragraphs>45</Paragraphs>
  <TotalTime>88</TotalTime>
  <ScaleCrop>false</ScaleCrop>
  <LinksUpToDate>false</LinksUpToDate>
  <CharactersWithSpaces>10200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2026-09-23T01:24:00Z</dcterms:created>
  <dc:creator>JW112</dc:creator>
  <cp:lastModifiedBy>张卫恒</cp:lastModifiedBy>
  <cp:lastPrinted>2026-05-08T02:40:00Z</cp:lastPrinted>
  <dcterms:modified xsi:type="dcterms:W3CDTF">2026-09-28T13:11:17Z</dcterms:modified>
  <dc:title>附录1</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eyJoZGlkIjoiODQ2ZDc5NWZlNjc1N2YxMjNkYmZlOWYyNzcyODc0ZDgiLCJ1c2VySWQiOiIxNjEyNDcyMTYzIn0=</vt:lpwstr>
  </property>
  <property fmtid="{D5CDD505-2E9C-101B-9397-08002B2CF9AE}" pid="3" name="KSOProductBuildVer">
    <vt:lpwstr>2052-12.1.0.28043</vt:lpwstr>
  </property>
  <property fmtid="{D5CDD505-2E9C-101B-9397-08002B2CF9AE}" pid="4" name="ICV">
    <vt:lpwstr>428F22C0EEF9466F980E2B89E1866BDB_12</vt:lpwstr>
  </property>
</Properties>
</file>