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rPr>
        <w:t>已有的八推进器便携式水下航行器（Remotely Operated Vehicle，ROV）实验平台方案及相关结构数据开展研究（平台实物如图 1 所示）。该平台采用双圆筒耐压舱与碳纤维板紧凑集成的结构形式，具备水平面 4 台矢量倾斜与垂直面 4 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实验室八推进器便携式水下航行器实验平台实物图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 提出了基于自由衰减试验（Free Decay Tests）辨识水下航行器水动力系数的方法，通过释放初始位移并记录单自由度衰减振荡曲线即可解算出主要惯性与阻尼参数</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。国内哈尔滨工程大学高婷、庞永杰等针对复杂构型水下航行器水动力系数计算方法开展了系统研究，结合几何特征分析与试验修正建立了面向控制设计的实用化模型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平台建立了开源物理仿真与动力学基准，提供了标准化的模型参数与对比基础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。这表明，直接采用经典六自由度动力学方程结构、对水动力矩阵做合理工程简化，并结合特征激励响应数据通过参数拟合辨识未知水动力系数，是构建水下航行器实用化动力学模型的成熟路径。</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在常规工程实践与开源水下飞控中，不依赖动力学模型的独立单回路 PID 或串级 PID 控制应用最为广泛，其在平稳水流环境下的定点悬停或低速巡航中具备结构简单、易于初调的优势 </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等针对观察级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 xml:space="preserve">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 xml:space="preserve">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 xml:space="preserve">围绕非线性解耦与抗扰，基于反馈线性化、动态逆以及增量非线性动态逆（INDI）的控制方法也受到广泛关注，例如 Slawik 等将增量动态逆方法引入水下航行器姿态控制中，利用机体惯性与控制效能模型配合高频状态反馈在局部时间微元内抵消未建模水动力阻尼与外部流扰，展现出良好的抗扰能力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水下航行器而言，其独立的物理执行器数量（8 个推进器）大于空间六自由度广义力与力矩的数量（6 个控制维度），属于典型的过驱动（Over-actuated）冗余控制系统。上层运动控制器计算出的是机体所需的六维期望广义力与力矩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，而实际作用于水体的是各推进器产生的推力矢量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Johansen 与 Fossen 在控制分配综述中系统总结了过驱动系统无约束广义逆、加权伪逆、有界优化及再分配等典型推力分配方法的理论框架 </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程卫平、王猛等针对水下机器人推力器物理输出上限，研究了基于可行方向法等处理推力边界约束的分配算法，</w:t>
      </w:r>
      <w:r>
        <w:rPr>
          <w:rFonts w:ascii="Times New Roman" w:hAnsi="Times New Roman" w:cs="Times New Roman" w:eastAsia="宋体"/>
          <w:b w:val="0"/>
          <w:i w:val="0"/>
          <w:color w:val="000000"/>
          <w:sz w:val="24"/>
        </w:rPr>
        <w:t xml:space="preserve">有效减小了推力饱和引起的力矩畸变 </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；孙广威等针对矢量推进 ROV 提出了兼顾推力约束与分配效率的多级推力分配策略，</w:t>
      </w:r>
      <w:r>
        <w:rPr>
          <w:rFonts w:ascii="Times New Roman" w:hAnsi="Times New Roman" w:cs="Times New Roman" w:eastAsia="宋体"/>
          <w:b w:val="0"/>
          <w:i w:val="0"/>
          <w:color w:val="000000"/>
          <w:sz w:val="24"/>
        </w:rPr>
        <w:t xml:space="preserve">提升了多推进器协调能力 </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rPr>
        <w:t xml:space="preserve">依据平台八推进器真实几何构型建立准确的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是当前无人系统领域广泛应用的开源嵌入式控制软件框架之一</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等依托基于 PX4 的软件在环仿真与水池实验完成了 HippoCampus X 水下平台的三维机动控制验证，证实了基于 PX4/SITL 构建水下航行器闭环仿真与验证体系的工程合理性</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围绕实验室已有八推进器便携式水下航行器平台</w:t>
      </w:r>
      <w:r>
        <w:rPr>
          <w:rFonts w:ascii="Times New Roman" w:hAnsi="Times New Roman" w:cs="Times New Roman" w:eastAsia="宋体"/>
          <w:b w:val="0"/>
          <w:i w:val="0"/>
          <w:color w:val="000000"/>
          <w:sz w:val="24"/>
        </w:rPr>
        <w:t>，预期达成以下四项研究目标：一是构建并验证能够反映航行器主导动态特性的六自由度动力学模型，并确定单推进器静态推力映射关系；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rPr>
        <w:t xml:space="preserve">建立基于平台真实推进器空间布局的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及推力边界约束处理策略，抑制推力饱和引起的合成力矩失真；四是在 PX4/SITL 软件在环环境中完成上述模块的闭环集成，并获取典型运动与外部扰动工况下的量化验证结果。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rPr>
        <w:t xml:space="preserve">根据平台八推进器空间安装位置与推力方向建立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，记航行器广义位置与姿态角矢量为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，附体系线速度与角速度矢量为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采用标准六自由度运动学与动力学微分方程描述航行器运动：</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 xml:space="preserve"> 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在参数获取与辨识上，首先由图 1 所示平台的三维装配模型直接提取整机质量、转动惯量张量及重浮心相对坐标，计算刚体惯性矩阵 </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oMath>
      <w:r>
        <w:rPr>
          <w:rFonts w:ascii="Times New Roman" w:hAnsi="Times New Roman" w:cs="Times New Roman" w:eastAsia="宋体"/>
          <w:b w:val="0"/>
          <w:i w:val="0"/>
          <w:color w:val="000000"/>
          <w:sz w:val="24"/>
        </w:rPr>
        <w:t xml:space="preserve">、刚体科氏力矩阵 </w:t>
      </w:r>
      <m:oMath>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与恢复力矩项 </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；依据单推进器推力测试数据，通过多项式拟合建立控制输入到静态推力输出 </w:t>
      </w:r>
      <m:oMath>
        <m:sSub>
          <m:e>
            <m:r>
              <m:rPr>
                <m:sty m:val="i"/>
              </m:rPr>
              <w:rPr>
                <w:rFonts w:ascii="Cambria Math" w:hAnsi="Cambria Math" w:eastAsia="宋体"/>
                <w:sz w:val="24"/>
                <w:szCs w:val="24"/>
              </w:rPr>
              <m:t>T</m:t>
            </m:r>
          </m:e>
          <m:sub>
            <m:r>
              <m:rPr>
                <m:sty m:val="i"/>
              </m:rPr>
              <w:rPr>
                <w:rFonts w:ascii="Cambria Math" w:hAnsi="Cambria Math" w:eastAsia="宋体"/>
                <w:sz w:val="24"/>
                <w:szCs w:val="24"/>
              </w:rPr>
              <m:t>i</m:t>
            </m:r>
          </m:sub>
        </m:sSub>
      </m:oMath>
      <w:r>
        <w:rPr>
          <w:rFonts w:ascii="Times New Roman" w:hAnsi="Times New Roman" w:cs="Times New Roman" w:eastAsia="宋体"/>
          <w:b w:val="0"/>
          <w:i w:val="0"/>
          <w:color w:val="000000"/>
          <w:sz w:val="24"/>
        </w:rPr>
        <w:t xml:space="preserve"> 的映射函数，并确定正向与反向推力上下界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。其次，考虑便携式水下航行器低速作业特点与机体近似对称性，忽略次要的非对角交叉水动力耦合项，将附加质量矩阵 </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r>
          <m:rPr>
            <m:sty m:val="p"/>
          </m:rPr>
          <w:rPr>
            <w:rFonts w:ascii="Cambria Math" w:hAnsi="Cambria Math" w:eastAsia="宋体"/>
            <w:sz w:val="24"/>
            <w:szCs w:val="24"/>
          </w:rPr>
          <m:t> = −diag(</m:t>
        </m:r>
        <m:sSub>
          <m:e>
            <m:r>
              <m:rPr>
                <m:sty m:val="i"/>
              </m:rPr>
              <w:rPr>
                <w:rFonts w:ascii="Cambria Math" w:hAnsi="Cambria Math" w:eastAsia="宋体"/>
                <w:sz w:val="24"/>
                <w:szCs w:val="24"/>
              </w:rPr>
              <m:t>X</m:t>
            </m:r>
          </m:e>
          <m:sub>
            <m:acc>
              <m:accPr>
                <m:chr m:val="̇"/>
              </m:accPr>
              <m:e>
                <m:r>
                  <m:rPr>
                    <m:sty m:val="i"/>
                  </m:rPr>
                  <w:rPr>
                    <w:rFonts w:ascii="Cambria Math" w:hAnsi="Cambria Math" w:eastAsia="宋体"/>
                    <w:sz w:val="24"/>
                    <w:szCs w:val="24"/>
                  </w:rPr>
                  <m:t>u</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Y</m:t>
            </m:r>
          </m:e>
          <m:sub>
            <m:acc>
              <m:accPr>
                <m:chr m:val="̇"/>
              </m:accPr>
              <m:e>
                <m:r>
                  <m:rPr>
                    <m:sty m:val="i"/>
                  </m:rPr>
                  <w:rPr>
                    <w:rFonts w:ascii="Cambria Math" w:hAnsi="Cambria Math" w:eastAsia="宋体"/>
                    <w:sz w:val="24"/>
                    <w:szCs w:val="24"/>
                  </w:rPr>
                  <m:t>v</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Z</m:t>
            </m:r>
          </m:e>
          <m:sub>
            <m:acc>
              <m:accPr>
                <m:chr m:val="̇"/>
              </m:accPr>
              <m:e>
                <m:r>
                  <m:rPr>
                    <m:sty m:val="i"/>
                  </m:rPr>
                  <w:rPr>
                    <w:rFonts w:ascii="Cambria Math" w:hAnsi="Cambria Math" w:eastAsia="宋体"/>
                    <w:sz w:val="24"/>
                    <w:szCs w:val="24"/>
                  </w:rPr>
                  <m:t>w</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K</m:t>
            </m:r>
          </m:e>
          <m:sub>
            <m:acc>
              <m:accPr>
                <m:chr m:val="̇"/>
              </m:accPr>
              <m:e>
                <m:r>
                  <m:rPr>
                    <m:sty m:val="i"/>
                  </m:rPr>
                  <w:rPr>
                    <w:rFonts w:ascii="Cambria Math" w:hAnsi="Cambria Math" w:eastAsia="宋体"/>
                    <w:sz w:val="24"/>
                    <w:szCs w:val="24"/>
                  </w:rPr>
                  <m:t>p</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acc>
              <m:accPr>
                <m:chr m:val="̇"/>
              </m:accPr>
              <m:e>
                <m:r>
                  <m:rPr>
                    <m:sty m:val="i"/>
                  </m:rPr>
                  <w:rPr>
                    <w:rFonts w:ascii="Cambria Math" w:hAnsi="Cambria Math" w:eastAsia="宋体"/>
                    <w:sz w:val="24"/>
                    <w:szCs w:val="24"/>
                  </w:rPr>
                  <m:t>q</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N</m:t>
            </m:r>
          </m:e>
          <m:sub>
            <m:acc>
              <m:accPr>
                <m:chr m:val="̇"/>
              </m:accPr>
              <m:e>
                <m:r>
                  <m:rPr>
                    <m:sty m:val="i"/>
                  </m:rPr>
                  <w:rPr>
                    <w:rFonts w:ascii="Cambria Math" w:hAnsi="Cambria Math" w:eastAsia="宋体"/>
                    <w:sz w:val="24"/>
                    <w:szCs w:val="24"/>
                  </w:rPr>
                  <m:t>r</m:t>
                </m:r>
              </m:e>
            </m:acc>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（其中 </w:t>
      </w:r>
      <m:oMath>
        <m:sSub>
          <m:e>
            <m:r>
              <m:rPr>
                <m:sty m:val="i"/>
              </m:rPr>
              <w:rPr>
                <w:rFonts w:ascii="Cambria Math" w:hAnsi="Cambria Math" w:eastAsia="宋体"/>
                <w:sz w:val="24"/>
                <w:szCs w:val="24"/>
              </w:rPr>
              <m:t>X</m:t>
            </m:r>
          </m:e>
          <m:sub>
            <m:acc>
              <m:accPr>
                <m:chr m:val="̇"/>
              </m:accPr>
              <m:e>
                <m:r>
                  <m:rPr>
                    <m:sty m:val="i"/>
                  </m:rPr>
                  <w:rPr>
                    <w:rFonts w:ascii="Cambria Math" w:hAnsi="Cambria Math" w:eastAsia="宋体"/>
                    <w:sz w:val="24"/>
                    <w:szCs w:val="24"/>
                  </w:rPr>
                  <m:t>u</m:t>
                </m:r>
              </m:e>
            </m:acc>
          </m:sub>
        </m:sSub>
        <m:r>
          <m:rPr>
            <m:sty m:val="p"/>
          </m:rPr>
          <w:rPr>
            <w:rFonts w:ascii="Cambria Math" w:hAnsi="Cambria Math" w:eastAsia="宋体"/>
            <w:sz w:val="24"/>
            <w:szCs w:val="24"/>
          </w:rPr>
          <m:t> ~ </m:t>
        </m:r>
        <m:sSub>
          <m:e>
            <m:r>
              <m:rPr>
                <m:sty m:val="i"/>
              </m:rPr>
              <w:rPr>
                <w:rFonts w:ascii="Cambria Math" w:hAnsi="Cambria Math" w:eastAsia="宋体"/>
                <w:sz w:val="24"/>
                <w:szCs w:val="24"/>
              </w:rPr>
              <m:t>N</m:t>
            </m:r>
          </m:e>
          <m:sub>
            <m:acc>
              <m:accPr>
                <m:chr m:val="̇"/>
              </m:accPr>
              <m:e>
                <m:r>
                  <m:rPr>
                    <m:sty m:val="i"/>
                  </m:rPr>
                  <w:rPr>
                    <w:rFonts w:ascii="Cambria Math" w:hAnsi="Cambria Math" w:eastAsia="宋体"/>
                    <w:sz w:val="24"/>
                    <w:szCs w:val="24"/>
                  </w:rPr>
                  <m:t>r</m:t>
                </m:r>
              </m:e>
            </m:acc>
          </m:sub>
        </m:sSub>
      </m:oMath>
      <w:r>
        <w:rPr>
          <w:rFonts w:ascii="Times New Roman" w:hAnsi="Times New Roman" w:cs="Times New Roman" w:eastAsia="宋体"/>
          <w:b w:val="0"/>
          <w:i w:val="0"/>
          <w:color w:val="000000"/>
          <w:sz w:val="24"/>
        </w:rPr>
        <w:t xml:space="preserve"> 为各自由度附加质量水动力导数）以及线性、二次阻尼矩阵 </w:t>
      </w:r>
      <m:oMath>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oMath>
      <w:r>
        <w:rPr>
          <w:rFonts w:ascii="Times New Roman" w:hAnsi="Times New Roman" w:cs="Times New Roman" w:eastAsia="宋体"/>
          <w:b w:val="0"/>
          <w:i w:val="0"/>
          <w:color w:val="000000"/>
          <w:sz w:val="24"/>
        </w:rPr>
        <w:t>、</w:t>
      </w:r>
      <m:oMath>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简化为对角阵。在各自由度阶跃推力或自由衰减特征激励下，将式 (1) 整理为关于未知对角水动力系数的参数化辨识方程，利用输入推力与速度/姿态响应序列，通过最小二乘法或非线性最小二乘曲线拟合求解未知参数，并将辨识参数代回式 (1) 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 xml:space="preserve">设参考位置与姿态指令为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、参考速度为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与速度误差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。控制器输出的六维期望广义控制力与力矩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i"/>
              </m:rPr>
              <w:rPr>
                <w:rFonts w:ascii="Cambria Math" w:hAnsi="Cambria Math" w:eastAsia="宋体"/>
                <w:sz w:val="24"/>
                <w:szCs w:val="24"/>
              </w:rPr>
              <m:t>F</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z</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z</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由闭环状态反馈项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与动力学模型补偿项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叠加构成（即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）。其中，闭环状态误差反馈项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针对水平位置/速度、潜深 </w:t>
      </w:r>
      <m:oMath>
        <m:r>
          <m:rPr>
            <m:sty m:val="i"/>
          </m:rPr>
          <w:rPr>
            <w:rFonts w:ascii="Cambria Math" w:hAnsi="Cambria Math" w:eastAsia="宋体"/>
            <w:sz w:val="24"/>
            <w:szCs w:val="24"/>
          </w:rPr>
          <m:t>z</m:t>
        </m:r>
      </m:oMath>
      <w:r>
        <w:rPr>
          <w:rFonts w:ascii="Times New Roman" w:hAnsi="Times New Roman" w:cs="Times New Roman" w:eastAsia="宋体"/>
          <w:b w:val="0"/>
          <w:i w:val="0"/>
          <w:color w:val="000000"/>
          <w:sz w:val="24"/>
        </w:rPr>
        <w:t xml:space="preserve">、横滚与俯仰姿态角 </w:t>
      </w:r>
      <m:oMath>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及航向角 </w:t>
      </w:r>
      <m:oMath>
        <m:r>
          <m:rPr>
            <m:sty m:val="i"/>
          </m:rPr>
          <w:rPr>
            <w:rFonts w:ascii="Cambria Math" w:hAnsi="Cambria Math" w:eastAsia="宋体"/>
            <w:sz w:val="24"/>
            <w:szCs w:val="24"/>
          </w:rPr>
          <m:t>ψ</m:t>
        </m:r>
      </m:oMath>
      <w:r>
        <w:rPr>
          <w:rFonts w:ascii="Times New Roman" w:hAnsi="Times New Roman" w:cs="Times New Roman" w:eastAsia="宋体"/>
          <w:b w:val="0"/>
          <w:i w:val="0"/>
          <w:color w:val="000000"/>
          <w:sz w:val="24"/>
        </w:rPr>
        <w:t xml:space="preserve"> 等控制通道，采用基于位置/姿态误差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 与速度/角速度误差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oMath>
      <w:r>
        <w:rPr>
          <w:rFonts w:ascii="Times New Roman" w:hAnsi="Times New Roman" w:cs="Times New Roman" w:eastAsia="宋体"/>
          <w:b w:val="0"/>
          <w:i w:val="0"/>
          <w:color w:val="000000"/>
          <w:sz w:val="24"/>
        </w:rPr>
        <w:t xml:space="preserve"> 的串级或比例-积分-微分（PID）反馈结构，保障基础闭环稳定性并消除稳态误差；动力学模型特性补偿项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结合模块一辨识得到的航行器动力学模型，在控制律中引入恢复力矩项 </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与主导水动力阻尼项 </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 的前馈补偿，或结合惯性矩阵 </w:t>
      </w:r>
      <m:oMath>
        <m:r>
          <m:rPr>
            <m:sty m:val="bi"/>
          </m:rPr>
          <w:rPr>
            <w:rFonts w:ascii="Cambria Math" w:hAnsi="Cambria Math" w:eastAsia="宋体"/>
            <w:sz w:val="24"/>
            <w:szCs w:val="24"/>
          </w:rPr>
          <m:t>M</m:t>
        </m:r>
      </m:oMath>
      <w:r>
        <w:rPr>
          <w:rFonts w:ascii="Times New Roman" w:hAnsi="Times New Roman" w:cs="Times New Roman" w:eastAsia="宋体"/>
          <w:b w:val="0"/>
          <w:i w:val="0"/>
          <w:color w:val="000000"/>
          <w:sz w:val="24"/>
        </w:rPr>
        <w:t xml:space="preserve"> 与状态导数信息构造反馈线性化、增量动态逆（INDI）等动态逆补偿律，用于主动抵消已知非线性水动力负载与多轴耦合影响。当取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r>
          <m:rPr>
            <m:sty m:val="p"/>
          </m:rPr>
          <w:rPr>
            <w:rFonts w:ascii="Cambria Math" w:hAnsi="Cambria Math" w:eastAsia="宋体"/>
            <w:sz w:val="24"/>
            <w:szCs w:val="24"/>
          </w:rPr>
          <m:t> = </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 xml:space="preserve"> 时，控制器即为传统无模型 PID 控制；研究过程中结合辨识模型特性确定具体的模型补偿控制律，并统一以无模型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rPr>
        <w:t xml:space="preserve">结合图 1(b) 所示的推进器空间排布，将水平面四角呈 </w:t>
      </w:r>
      <m:oMath>
        <m:r>
          <m:rPr>
            <m:sty m:val="p"/>
          </m:rPr>
          <w:rPr>
            <w:rFonts w:ascii="Cambria Math" w:hAnsi="Cambria Math" w:eastAsia="宋体"/>
            <w:sz w:val="24"/>
            <w:szCs w:val="24"/>
          </w:rPr>
          <m:t>±45°</m:t>
        </m:r>
      </m:oMath>
      <w:r>
        <w:rPr>
          <w:rFonts w:ascii="Times New Roman" w:hAnsi="Times New Roman" w:cs="Times New Roman" w:eastAsia="宋体"/>
          <w:b w:val="0"/>
          <w:i w:val="0"/>
          <w:color w:val="000000"/>
          <w:sz w:val="24"/>
        </w:rPr>
        <w:t xml:space="preserve"> 矢量倾斜对称安装的 4 台推进器记为 </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 xml:space="preserve">（主控纵荡、横荡与偏航），将垂直面两侧垂向对称安装的 4 台推进器记为 </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（主控垂荡、横滚与俯仰）。</w:t>
      </w:r>
      <w:r>
        <w:rPr>
          <w:rFonts w:ascii="Times New Roman" w:hAnsi="Times New Roman" w:cs="Times New Roman" w:eastAsia="宋体"/>
          <w:b w:val="0"/>
          <w:i w:val="0"/>
          <w:color w:val="000000"/>
          <w:sz w:val="24"/>
        </w:rPr>
        <w:t xml:space="preserve">设第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台推进器（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）在附体系下的安装位置矢量为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、单位推力方向矢量为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，并在推力边界约束下求解推进器推力指令矢量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r>
            <m:rPr>
              <m:sty m:val="bi"/>
            </m:rPr>
            <w:rPr>
              <w:rFonts w:ascii="Cambria Math" w:hAnsi="Cambria Math" w:eastAsia="宋体"/>
              <w:sz w:val="24"/>
              <w:szCs w:val="24"/>
            </w:rPr>
            <m:t>τ</m:t>
          </m:r>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具体求解时，先由 Moore-Penrose 伪逆或加权伪逆 </w:t>
      </w:r>
      <m:oMath>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r>
          <m:rPr>
            <m:sty m:val="bi"/>
          </m:rPr>
          <w:rPr>
            <w:rFonts w:ascii="Cambria Math" w:hAnsi="Cambria Math" w:eastAsia="宋体"/>
            <w:sz w:val="24"/>
            <w:szCs w:val="24"/>
          </w:rPr>
          <m:t>B</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sSup>
          <m:e>
            <m:r>
              <m:rPr>
                <m:sty m:val="p"/>
              </m:rPr>
              <w:rPr>
                <w:rFonts w:ascii="Cambria Math" w:hAnsi="Cambria Math" w:eastAsia="宋体"/>
                <w:sz w:val="24"/>
                <w:szCs w:val="24"/>
              </w:rPr>
              <m:t>)</m:t>
            </m:r>
          </m:e>
          <m:sup>
            <m:r>
              <m:rPr>
                <m:sty m:val="p"/>
              </m:rPr>
              <w:rPr>
                <w:rFonts w:ascii="Cambria Math" w:hAnsi="Cambria Math" w:eastAsia="宋体"/>
                <w:sz w:val="24"/>
                <w:szCs w:val="24"/>
              </w:rPr>
              <m:t>−1</m:t>
            </m:r>
          </m:sup>
        </m:sSup>
      </m:oMath>
      <w:r>
        <w:rPr>
          <w:rFonts w:ascii="Times New Roman" w:hAnsi="Times New Roman" w:cs="Times New Roman" w:eastAsia="宋体"/>
          <w:b w:val="0"/>
          <w:i w:val="0"/>
          <w:color w:val="000000"/>
          <w:sz w:val="24"/>
        </w:rPr>
        <w:t xml:space="preserve"> 计算最小二乘范数基准解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。当期望广义力/力矩较大导致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oMath>
      <w:r>
        <w:rPr>
          <w:rFonts w:ascii="Times New Roman" w:hAnsi="Times New Roman" w:cs="Times New Roman" w:eastAsia="宋体"/>
          <w:b w:val="0"/>
          <w:i w:val="0"/>
          <w:color w:val="000000"/>
          <w:sz w:val="24"/>
        </w:rPr>
        <w:t xml:space="preserve"> 中存在超出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rPr>
          <m:t>clip(</m:t>
        </m:r>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）引起的合成力矩方向偏转；通过与无约束伪逆直接硬截断方案对比，分析控制分配残差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rPr>
        <w:t xml:space="preserve">依托 PX4 模块化软件架构与 uORB 异步发布-订阅消息总线，在 SITL 环境中集成水下航行器六自由度动力学仿真模块（订阅推进器指令并按式 (1) 实时数值积分发布位姿与速度 uORB 消息）、运动控制模块（订阅参考指令与状态反馈消息，计算并发布期望广义力/力矩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）以及八推进器控制分配模块（订阅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，按式 (2) 解算并发布 8 通道推进器推力指令）。设置空间定点悬停、姿态阶跃稳定、定深跟踪、定航转向以及叠加外部水流扰动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等仿真工况，通过 ULog 日志记录全状态响应数据，对比评估不同控制与分配方案的位置/姿态跟踪误差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、超调量、调节时间及控制分配残差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本课题围绕上述四个核心模块展开研究，总体技术路线如图 2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课题总体研究技术路线图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 1</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w:t>
      </w:r>
      <w:r>
        <w:rPr>
          <w:rFonts w:ascii="Times New Roman" w:hAnsi="Times New Roman" w:cs="Times New Roman" w:eastAsia="宋体"/>
          <w:b/>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6"/>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