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在控制分配综述中系统总结了过驱动系统无约束广义逆、加权伪逆、有界优化及再分配等典型推力分配方法的理论框架 </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依据平台八推进器真实几何构型建立准确的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 xml:space="preserve">建立基于平台真实推进器空间布局的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 xml:space="preserve">根据平台八推进器空间安装位置与推力方向建立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 xml:space="preserve">、刚体科氏力矩阵 </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；依据单推进器推力测试数据，通过多项式拟合建立控制输入到静态推力输出 </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 xml:space="preserve"> 的映射函数，并确定正向与反向推力上下界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 = −diag(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（其中 </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 xml:space="preserve"> 为各自由度附加质量水动力导数）以及线性、二次阻尼矩阵 </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针对水平位置/速度、潜深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、横滚与俯仰姿态角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及航向角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 xml:space="preserve">结合图 1(b) 所示的推进器空间排布，将水平面四角呈 </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 xml:space="preserve"> 矢量倾斜对称安装的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 xml:space="preserve">（主控纵荡、横荡与偏航），将垂直面两侧垂向对称安装的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highlight w:val="yellow"/>
        </w:rPr>
        <w:t xml:space="preserve">设第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台推进器（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）在附体系下的安装位置矢量为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、单位推力方向矢量为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