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1.1 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1.1.1 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在此背景下，本课题来源于实验室在水下无人系统与智能海洋装备方向的科研实践与工程开发需求，直接依托实验室已完成构型设计的八推进器开架式（Open-frame）水下航行器（Unmanned Underwater Vehicle / Remotely Operated Vehicle，UUV/ROV）实验平台方案及相关结构数据开展研究。该平台具备八推进器空间对称与矢量倾斜布置的硬件驱动能力，但在流体环境中实现稳定可靠的闭环运动控制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的方案与数据基础，围绕“动力学建模、系统辨识、模型运动控制、八推进器控制分配及 PX4/SITL 闭环仿真验证”开展系统性研究，具有坚实的工程实践背景与明确的技术升级需求。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1.1.2 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1.1.3 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1.2 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1.2.1 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highlight w:val="yellow"/>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highlight w:val="yellow"/>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highlight w:val="yellow"/>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1.2.2 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508000"/>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250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。在现代开架式水下航行器开源物理仿真基准中，文献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针对上述问题，结合动力学模型已知特性与实时状态反馈的现代控制方法成为水下航行器控制领域的研究重点。如图 1 所示，通用闭环控制系统主要由参考运动规划、运动控制器（包含模型前馈补偿与状态误差反馈两部分）、控制分配模块、推进器执行机构、航行器动力学模型以及状态估计模块组成。Fernandes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highlight w:val="yellow"/>
            <w:vertAlign w:val="superscript"/>
          </w:rPr>
          <w:t>[9]</w:t>
        </w:r>
      </w:hyperlink>
      <w:r>
        <w:rPr>
          <w:rFonts w:ascii="Times New Roman" w:hAnsi="Times New Roman" w:cs="Times New Roman" w:eastAsia="宋体"/>
          <w:b w:val="0"/>
          <w:i w:val="0"/>
          <w:color w:val="000000"/>
          <w:sz w:val="24"/>
          <w:highlight w:val="yellow"/>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highlight w:val="yellow"/>
            <w:vertAlign w:val="superscript"/>
          </w:rPr>
          <w:t>[10]</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1.2.3 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 xml:space="preserve">，而实际作用于水体的则是各推进器产生的轴向推力矢量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1.2.4 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最初，PX4 主要针对空中多旋翼与固定翼飞行器进行设计。凭借其模块化的控制分配架构与良好的可扩展性，近年来国内外研究团队开始将 PX4 引入水下无人航行器研究领域。Duecker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1.2.5 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highlight w:val="yellow"/>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[9]</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highlight w:val="yellow"/>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机理建模与数据辨识相结合获取标称模型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19"/>
                <w:highlight w:val="yellow"/>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 xml:space="preserve">建立八推进器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19"/>
                <w:highlight w:val="yellow"/>
              </w:rPr>
              <w:t xml:space="preserve"> 控制分配矩阵 </w:t>
            </w:r>
            <m:oMath>
              <m:r>
                <m:rPr>
                  <m:sty m:val="bi"/>
                </m:rPr>
                <w:rPr>
                  <w:rFonts w:ascii="Cambria Math" w:hAnsi="Cambria Math" w:eastAsia="宋体"/>
                  <w:sz w:val="24"/>
                  <w:szCs w:val="24"/>
                  <w:highlight w:val="yellow"/>
                </w:rPr>
                <m:t>B</m:t>
              </m:r>
            </m:oMath>
            <w:r>
              <w:rPr>
                <w:rFonts w:ascii="Times New Roman" w:hAnsi="Times New Roman" w:cs="Times New Roman" w:eastAsia="宋体"/>
                <w:b w:val="0"/>
                <w:i w:val="0"/>
                <w:color w:val="000000"/>
                <w:sz w:val="19"/>
                <w:highlight w:val="yellow"/>
              </w:rPr>
              <w:t xml:space="preserve">，考虑基本推力输出范围约束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highlight w:val="yellow"/>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2.1 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2.1.1 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2.1.2 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围绕上述研究目标与后续毕业论文的核心章节脉络，本课题应完成的主要研究内容与拟解决的关键问题包括以下四个方面：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水下航行器动力学与推进器建模（对应理论模型构建基础）：</w:t>
      </w:r>
      <w:r>
        <w:rPr>
          <w:rFonts w:ascii="Times New Roman" w:hAnsi="Times New Roman" w:cs="Times New Roman" w:eastAsia="宋体"/>
          <w:b w:val="0"/>
          <w:i w:val="0"/>
          <w:color w:val="000000"/>
          <w:sz w:val="24"/>
          <w:highlight w:val="yellow"/>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系统辨识与模型验证分析（对应模型参数获取与精度核准）：</w:t>
      </w:r>
      <w:r>
        <w:rPr>
          <w:rFonts w:ascii="Times New Roman" w:hAnsi="Times New Roman" w:cs="Times New Roman" w:eastAsia="宋体"/>
          <w:b w:val="0"/>
          <w:i w:val="0"/>
          <w:color w:val="000000"/>
          <w:sz w:val="24"/>
          <w:highlight w:val="yellow"/>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模型运动控制与八推进器控制分配（对应控制算法与执行器解算）：</w:t>
      </w:r>
      <w:r>
        <w:rPr>
          <w:rFonts w:ascii="Times New Roman" w:hAnsi="Times New Roman" w:cs="Times New Roman" w:eastAsia="宋体"/>
          <w:b w:val="0"/>
          <w:i w:val="0"/>
          <w:color w:val="000000"/>
          <w:sz w:val="24"/>
          <w:highlight w:val="yellow"/>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PX4/SITL 闭环仿真与系统验证（对应软件在环集成与多工况评价）：</w:t>
      </w:r>
      <w:r>
        <w:rPr>
          <w:rFonts w:ascii="Times New Roman" w:hAnsi="Times New Roman" w:cs="Times New Roman" w:eastAsia="宋体"/>
          <w:b w:val="0"/>
          <w:i w:val="0"/>
          <w:color w:val="000000"/>
          <w:sz w:val="24"/>
          <w:highlight w:val="yellow"/>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2.2 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2.2.1 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六自由度动力学与推进器建模方法：</w:t>
      </w:r>
      <w:r>
        <w:rPr>
          <w:rFonts w:ascii="Times New Roman" w:hAnsi="Times New Roman" w:cs="Times New Roman" w:eastAsia="宋体"/>
          <w:b w:val="0"/>
          <w:i w:val="0"/>
          <w:color w:val="000000"/>
          <w:sz w:val="24"/>
          <w:highlight w:val="yellow"/>
        </w:rPr>
        <w:t xml:space="preserve">如图 2 所示，建立北东地惯性坐标系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n</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n</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n</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与附体坐标系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b</m:t>
        </m:r>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O</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x</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y</m:t>
            </m:r>
          </m:e>
          <m:sub>
            <m:r>
              <m:rPr>
                <m:sty m:val="i"/>
              </m:rPr>
              <w:rPr>
                <w:rFonts w:ascii="Cambria Math" w:hAnsi="Cambria Math" w:eastAsia="宋体"/>
                <w:sz w:val="24"/>
                <w:szCs w:val="24"/>
                <w:highlight w:val="yellow"/>
              </w:rPr>
              <m:t>b</m:t>
            </m:r>
          </m:sub>
        </m:sSub>
        <m:sSub>
          <m:e>
            <m:r>
              <m:rPr>
                <m:sty m:val="i"/>
              </m:rPr>
              <w:rPr>
                <w:rFonts w:ascii="Cambria Math" w:hAnsi="Cambria Math" w:eastAsia="宋体"/>
                <w:sz w:val="24"/>
                <w:szCs w:val="24"/>
                <w:highlight w:val="yellow"/>
              </w:rPr>
              <m:t>z</m:t>
            </m:r>
          </m:e>
          <m:sub>
            <m:r>
              <m:rPr>
                <m:sty m:val="i"/>
              </m:rPr>
              <w:rPr>
                <w:rFonts w:ascii="Cambria Math" w:hAnsi="Cambria Math" w:eastAsia="宋体"/>
                <w:sz w:val="24"/>
                <w:szCs w:val="24"/>
                <w:highlight w:val="yellow"/>
              </w:rPr>
              <m:t>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，设航行器广义位置与姿态矢量为 </w:t>
      </w:r>
      <m:oMath>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x</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y</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z</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ψ</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 xml:space="preserve">，附体系下线速度与角速度矢量为 </w:t>
      </w:r>
      <m:oMath>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 = [</m:t>
        </m:r>
        <m:r>
          <m:rPr>
            <m:sty m:val="i"/>
          </m:rPr>
          <w:rPr>
            <w:rFonts w:ascii="Cambria Math" w:hAnsi="Cambria Math" w:eastAsia="宋体"/>
            <w:sz w:val="24"/>
            <w:szCs w:val="24"/>
            <w:highlight w:val="yellow"/>
          </w:rPr>
          <m:t>u</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v</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w</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p</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q</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r</m:t>
        </m:r>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oMath>
      <w:r>
        <w:rPr>
          <w:rFonts w:ascii="Times New Roman" w:hAnsi="Times New Roman" w:cs="Times New Roman" w:eastAsia="宋体"/>
          <w:b w:val="0"/>
          <w:i w:val="0"/>
          <w:color w:val="000000"/>
          <w:sz w:val="24"/>
          <w:highlight w:val="yellow"/>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式中，</w:t>
      </w:r>
      <m:oMath>
        <m:r>
          <m:rPr>
            <m:sty m:val="bi"/>
          </m:rPr>
          <w:rPr>
            <w:rFonts w:ascii="Cambria Math" w:hAnsi="Cambria Math" w:eastAsia="宋体"/>
            <w:sz w:val="24"/>
            <w:szCs w:val="24"/>
            <w:highlight w:val="yellow"/>
          </w:rPr>
          <m:t>J</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为坐标转换矩阵；</w:t>
      </w:r>
      <m:oMath>
        <m:r>
          <m:rPr>
            <m:sty m:val="bi"/>
          </m:rPr>
          <w:rPr>
            <w:rFonts w:ascii="Cambria Math" w:hAnsi="Cambria Math" w:eastAsia="宋体"/>
            <w:sz w:val="24"/>
            <w:szCs w:val="24"/>
            <w:highlight w:val="yellow"/>
          </w:rPr>
          <m:t>M</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oMath>
      <w:r>
        <w:rPr>
          <w:rFonts w:ascii="Times New Roman" w:hAnsi="Times New Roman" w:cs="Times New Roman" w:eastAsia="宋体"/>
          <w:b w:val="0"/>
          <w:i w:val="0"/>
          <w:color w:val="000000"/>
          <w:sz w:val="24"/>
          <w:highlight w:val="yellow"/>
        </w:rPr>
        <w:t xml:space="preserve"> 为刚体惯性与附加质量矩阵；</w:t>
      </w:r>
      <m:oMath>
        <m:r>
          <m:rPr>
            <m:sty m:val="bi"/>
          </m:rPr>
          <w:rPr>
            <w:rFonts w:ascii="Cambria Math" w:hAnsi="Cambria Math" w:eastAsia="宋体"/>
            <w:sz w:val="24"/>
            <w:szCs w:val="24"/>
            <w:highlight w:val="yellow"/>
          </w:rPr>
          <m:t>C</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为科氏力与向心力矩阵；</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为包含线性与二次非线性项的水动力阻尼矩阵；</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为重力与浮力恢复力矩矢量；</w:t>
      </w:r>
      <m:oMath>
        <m:r>
          <m:rPr>
            <m:sty m:val="bi"/>
          </m:rPr>
          <w:rPr>
            <w:rFonts w:ascii="Cambria Math" w:hAnsi="Cambria Math" w:eastAsia="宋体"/>
            <w:sz w:val="24"/>
            <w:szCs w:val="24"/>
            <w:highlight w:val="yellow"/>
          </w:rPr>
          <m:t>τ</m:t>
        </m:r>
      </m:oMath>
      <w:r>
        <w:rPr>
          <w:rFonts w:ascii="Times New Roman" w:hAnsi="Times New Roman" w:cs="Times New Roman" w:eastAsia="宋体"/>
          <w:b w:val="0"/>
          <w:i w:val="0"/>
          <w:color w:val="000000"/>
          <w:sz w:val="24"/>
          <w:highlight w:val="yellow"/>
        </w:rPr>
        <w:t xml:space="preserve"> 为推进器产生的广义控制力与力矩矢量；</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622000"/>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622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系统辨识与模型验证方法：</w:t>
      </w:r>
      <w:r>
        <w:rPr>
          <w:rFonts w:ascii="Times New Roman" w:hAnsi="Times New Roman" w:cs="Times New Roman" w:eastAsia="宋体"/>
          <w:b w:val="0"/>
          <w:i w:val="0"/>
          <w:color w:val="000000"/>
          <w:sz w:val="24"/>
          <w:highlight w:val="yellow"/>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highlight w:val="yellow"/>
          </w:rPr>
          <m:t>θ</m:t>
        </m:r>
      </m:oMath>
      <w:r>
        <w:rPr>
          <w:rFonts w:ascii="Times New Roman" w:hAnsi="Times New Roman" w:cs="Times New Roman" w:eastAsia="宋体"/>
          <w:b w:val="0"/>
          <w:i w:val="0"/>
          <w:color w:val="000000"/>
          <w:sz w:val="24"/>
          <w:highlight w:val="yellow"/>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highlight w:val="yellow"/>
          </w:rPr>
          <m:t>(</m:t>
        </m:r>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基于模型与状态反馈的闭环运动控制方法：</w:t>
      </w:r>
      <w:r>
        <w:rPr>
          <w:rFonts w:ascii="Times New Roman" w:hAnsi="Times New Roman" w:cs="Times New Roman" w:eastAsia="宋体"/>
          <w:b w:val="0"/>
          <w:i w:val="0"/>
          <w:color w:val="000000"/>
          <w:sz w:val="24"/>
          <w:highlight w:val="yellow"/>
        </w:rPr>
        <w:t xml:space="preserve">以经验证的航行器标称模型为基础，设参考运动状态为 </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 与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，定义姿态、深度与航向等状态跟踪误差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 xml:space="preserve"> 及速度误差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。结合标称模型信息（</w:t>
      </w:r>
      <m:oMath>
        <m:acc>
          <m:accPr>
            <m:chr m:val="̂"/>
          </m:accPr>
          <m:e>
            <m:r>
              <m:rPr>
                <m:sty m:val="bi"/>
              </m:rPr>
              <w:rPr>
                <w:rFonts w:ascii="Cambria Math" w:hAnsi="Cambria Math" w:eastAsia="宋体"/>
                <w:sz w:val="24"/>
                <w:szCs w:val="24"/>
                <w:highlight w:val="yellow"/>
              </w:rPr>
              <m:t>M</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C</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D</m:t>
            </m:r>
          </m:e>
        </m:acc>
        <m:r>
          <m:rPr>
            <m:sty m:val="p"/>
          </m:rPr>
          <w:rPr>
            <w:rFonts w:ascii="Cambria Math" w:hAnsi="Cambria Math" w:eastAsia="宋体"/>
            <w:sz w:val="24"/>
            <w:szCs w:val="24"/>
            <w:highlight w:val="yellow"/>
          </w:rPr>
          <m:t>, </m:t>
        </m:r>
        <m:acc>
          <m:accPr>
            <m:chr m:val="̂"/>
          </m:accPr>
          <m:e>
            <m:r>
              <m:rPr>
                <m:sty m:val="bi"/>
              </m:rPr>
              <w:rPr>
                <w:rFonts w:ascii="Cambria Math" w:hAnsi="Cambria Math" w:eastAsia="宋体"/>
                <w:sz w:val="24"/>
                <w:szCs w:val="24"/>
                <w:highlight w:val="yellow"/>
              </w:rPr>
              <m:t>g</m:t>
            </m:r>
          </m:e>
        </m:acc>
      </m:oMath>
      <w:r>
        <w:rPr>
          <w:rFonts w:ascii="Times New Roman" w:hAnsi="Times New Roman" w:cs="Times New Roman" w:eastAsia="宋体"/>
          <w:b w:val="0"/>
          <w:i w:val="0"/>
          <w:color w:val="000000"/>
          <w:sz w:val="24"/>
          <w:highlight w:val="yellow"/>
        </w:rPr>
        <w:t xml:space="preserve">）与实时状态反馈，设计闭环运动控制律计算期望广义力和力矩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该通用结构将基于航行器模型的动态特性补偿项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model</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与基于状态误差的反馈控制项 </w:t>
      </w:r>
      <m:oMath>
        <m:sSub>
          <m:e>
            <m:r>
              <m:rPr>
                <m:sty m:val="bi"/>
              </m:rPr>
              <w:rPr>
                <w:rFonts w:ascii="Cambria Math" w:hAnsi="Cambria Math" w:eastAsia="宋体"/>
                <w:sz w:val="24"/>
                <w:szCs w:val="24"/>
                <w:highlight w:val="yellow"/>
              </w:rPr>
              <m:t>F</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4） 八推进器控制分配方法：</w:t>
      </w:r>
      <w:r>
        <w:rPr>
          <w:rFonts w:ascii="Times New Roman" w:hAnsi="Times New Roman" w:cs="Times New Roman" w:eastAsia="宋体"/>
          <w:b w:val="0"/>
          <w:i w:val="0"/>
          <w:color w:val="000000"/>
          <w:sz w:val="24"/>
          <w:highlight w:val="yellow"/>
        </w:rPr>
        <w:t>如图 2(b) 所示，已有平台包含水平面 4 台矢量倾斜推进器（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）与垂直面 4 台垂向对称推进器（</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 xml:space="preserve">）。根据第 </w:t>
      </w:r>
      <m:oMath>
        <m:r>
          <m:rPr>
            <m:sty m:val="i"/>
          </m:rPr>
          <w:rPr>
            <w:rFonts w:ascii="Cambria Math" w:hAnsi="Cambria Math" w:eastAsia="宋体"/>
            <w:sz w:val="24"/>
            <w:szCs w:val="24"/>
            <w:highlight w:val="yellow"/>
          </w:rPr>
          <m:t>i</m:t>
        </m:r>
      </m:oMath>
      <w:r>
        <w:rPr>
          <w:rFonts w:ascii="Times New Roman" w:hAnsi="Times New Roman" w:cs="Times New Roman" w:eastAsia="宋体"/>
          <w:b w:val="0"/>
          <w:i w:val="0"/>
          <w:color w:val="000000"/>
          <w:sz w:val="24"/>
          <w:highlight w:val="yellow"/>
        </w:rPr>
        <w:t xml:space="preserve"> 个推进器（</w:t>
      </w:r>
      <m:oMath>
        <m:r>
          <m:rPr>
            <m:sty m:val="i"/>
          </m:rPr>
          <w:rPr>
            <w:rFonts w:ascii="Cambria Math" w:hAnsi="Cambria Math" w:eastAsia="宋体"/>
            <w:sz w:val="24"/>
            <w:szCs w:val="24"/>
            <w:highlight w:val="yellow"/>
          </w:rPr>
          <m:t>i</m:t>
        </m:r>
        <m:r>
          <m:rPr>
            <m:sty m:val="p"/>
          </m:rPr>
          <w:rPr>
            <w:rFonts w:ascii="Cambria Math" w:hAnsi="Cambria Math" w:eastAsia="宋体"/>
            <w:sz w:val="24"/>
            <w:szCs w:val="24"/>
            <w:highlight w:val="yellow"/>
          </w:rPr>
          <m:t> = 1, …, 8</m:t>
        </m:r>
      </m:oMath>
      <w:r>
        <w:rPr>
          <w:rFonts w:ascii="Times New Roman" w:hAnsi="Times New Roman" w:cs="Times New Roman" w:eastAsia="宋体"/>
          <w:b w:val="0"/>
          <w:i w:val="0"/>
          <w:color w:val="000000"/>
          <w:sz w:val="24"/>
          <w:highlight w:val="yellow"/>
        </w:rPr>
        <w:t xml:space="preserve">）在附体系下的安装位置矢量 </w:t>
      </w:r>
      <m:oMath>
        <m:sSub>
          <m:e>
            <m:r>
              <m:rPr>
                <m:sty m:val="bi"/>
              </m:rPr>
              <w:rPr>
                <w:rFonts w:ascii="Cambria Math" w:hAnsi="Cambria Math" w:eastAsia="宋体"/>
                <w:sz w:val="24"/>
                <w:szCs w:val="24"/>
                <w:highlight w:val="yellow"/>
              </w:rPr>
              <m:t>r</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 与推力方向单位矢量 </w:t>
      </w:r>
      <m:oMath>
        <m:sSub>
          <m:e>
            <m:r>
              <m:rPr>
                <m:sty m:val="bi"/>
              </m:rPr>
              <w:rPr>
                <w:rFonts w:ascii="Cambria Math" w:hAnsi="Cambria Math" w:eastAsia="宋体"/>
                <w:sz w:val="24"/>
                <w:szCs w:val="24"/>
                <w:highlight w:val="yellow"/>
              </w:rPr>
              <m:t>d</m:t>
            </m:r>
          </m:e>
          <m:sub>
            <m:r>
              <m:rPr>
                <m:sty m:val="i"/>
              </m:rPr>
              <w:rPr>
                <w:rFonts w:ascii="Cambria Math" w:hAnsi="Cambria Math" w:eastAsia="宋体"/>
                <w:sz w:val="24"/>
                <w:szCs w:val="24"/>
                <w:highlight w:val="yellow"/>
              </w:rPr>
              <m:t>i</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3</m:t>
            </m:r>
          </m:sup>
        </m:sSup>
      </m:oMath>
      <w:r>
        <w:rPr>
          <w:rFonts w:ascii="Times New Roman" w:hAnsi="Times New Roman" w:cs="Times New Roman" w:eastAsia="宋体"/>
          <w:b w:val="0"/>
          <w:i w:val="0"/>
          <w:color w:val="000000"/>
          <w:sz w:val="24"/>
          <w:highlight w:val="yellow"/>
        </w:rPr>
        <w:t xml:space="preserve">，构造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 </w:t>
      </w:r>
      <m:oMath>
        <m:r>
          <m:rPr>
            <m:sty m:val="bi"/>
          </m:rPr>
          <w:rPr>
            <w:rFonts w:ascii="Cambria Math" w:hAnsi="Cambria Math" w:eastAsia="宋体"/>
            <w:sz w:val="24"/>
            <w:szCs w:val="24"/>
            <w:highlight w:val="yellow"/>
          </w:rPr>
          <m:t>B</m:t>
        </m:r>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2</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b</m:t>
            </m:r>
          </m:e>
          <m:sub>
            <m:r>
              <m:rPr>
                <m:sty m:val="p"/>
              </m:rPr>
              <w:rPr>
                <w:rFonts w:ascii="Cambria Math" w:hAnsi="Cambria Math" w:eastAsia="宋体"/>
                <w:sz w:val="24"/>
                <w:szCs w:val="24"/>
                <w:highlight w:val="yellow"/>
              </w:rPr>
              <m:t>8</m:t>
            </m:r>
          </m:sub>
        </m:sSub>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6×8</m:t>
            </m:r>
          </m:sup>
        </m:sSup>
      </m:oMath>
      <w:r>
        <w:rPr>
          <w:rFonts w:ascii="Times New Roman" w:hAnsi="Times New Roman" w:cs="Times New Roman" w:eastAsia="宋体"/>
          <w:b w:val="0"/>
          <w:i w:val="0"/>
          <w:color w:val="000000"/>
          <w:sz w:val="24"/>
          <w:highlight w:val="yellow"/>
        </w:rPr>
        <w:t xml:space="preserve">，并在推进器基本推力输出范围约束下求解各推进器推力指令 </w:t>
      </w:r>
      <m:oMath>
        <m:r>
          <m:rPr>
            <m:sty m:val="bi"/>
          </m:rPr>
          <w:rPr>
            <w:rFonts w:ascii="Cambria Math" w:hAnsi="Cambria Math" w:eastAsia="宋体"/>
            <w:sz w:val="24"/>
            <w:szCs w:val="24"/>
            <w:highlight w:val="yellow"/>
          </w:rPr>
          <m:t>T</m:t>
        </m:r>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8</m:t>
            </m:r>
          </m:sup>
        </m:sSup>
      </m:oMath>
      <w:r>
        <w:rPr>
          <w:rFonts w:ascii="Times New Roman" w:hAnsi="Times New Roman" w:cs="Times New Roman" w:eastAsia="宋体"/>
          <w:b w:val="0"/>
          <w:i w:val="0"/>
          <w:color w:val="000000"/>
          <w:sz w:val="24"/>
          <w:highlight w:val="yellow"/>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通过对比无约束广义逆基准与考虑推力上下限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的有界控制分配方法，量化分析控制分配残差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5） PX4/SITL闭环仿真验证方法：</w:t>
      </w:r>
      <w:r>
        <w:rPr>
          <w:rFonts w:ascii="Times New Roman" w:hAnsi="Times New Roman" w:cs="Times New Roman" w:eastAsia="宋体"/>
          <w:b w:val="0"/>
          <w:i w:val="0"/>
          <w:color w:val="000000"/>
          <w:sz w:val="24"/>
          <w:highlight w:val="yellow"/>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、动态响应指标及控制分配残差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2.2.2 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本课题的总体研究技术路线如图 3 所示，基于PX4/SITL的水下航行器闭环仿真系统结构框图如图 4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078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736000"/>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7360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2.2.3 可行性分析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1） 理论与方法可行性：</w:t>
      </w:r>
      <w:r>
        <w:rPr>
          <w:rFonts w:ascii="Times New Roman" w:hAnsi="Times New Roman" w:cs="Times New Roman" w:eastAsia="宋体"/>
          <w:b w:val="0"/>
          <w:i w:val="0"/>
          <w:color w:val="000000"/>
          <w:sz w:val="24"/>
          <w:highlight w:val="yellow"/>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2） 平台与数据基础可行性：</w:t>
      </w:r>
      <w:r>
        <w:rPr>
          <w:rFonts w:ascii="Times New Roman" w:hAnsi="Times New Roman" w:cs="Times New Roman" w:eastAsia="宋体"/>
          <w:b w:val="0"/>
          <w:i w:val="0"/>
          <w:color w:val="000000"/>
          <w:sz w:val="24"/>
          <w:highlight w:val="yellow"/>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highlight w:val="yellow"/>
        </w:rPr>
        <w:t>3） 软件与仿真环境可行性：</w:t>
      </w:r>
      <w:r>
        <w:rPr>
          <w:rFonts w:ascii="Times New Roman" w:hAnsi="Times New Roman" w:cs="Times New Roman" w:eastAsia="宋体"/>
          <w:b w:val="0"/>
          <w:i w:val="0"/>
          <w:color w:val="000000"/>
          <w:sz w:val="24"/>
          <w:highlight w:val="yellow"/>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2.3 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highlight w:val="yellow"/>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highlight w:val="yellow"/>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highlight w:val="yellow"/>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highlight w:val="yellow"/>
        </w:rPr>
        <w:t>[9]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highlight w:val="yellow"/>
        </w:rPr>
        <w:t>[10]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