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系统总结了过驱动系统控制分配的数学规划与优化理论框架 </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 xml:space="preserve">，并进一步针对船舶与水下航行器梳理了无约束广义逆、加权伪逆及有界再分配等典型推力分配方法 </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水动力模型与单推进器静态推力模型；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rPr>
        <w:t xml:space="preserve">建立基于平台真实推进器空间布局的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 xml:space="preserve">根据平台八推进器空间安装位置与推力方向建立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 xml:space="preserve">、刚体科氏力矩阵 </w:t>
      </w:r>
      <m:oMath>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；依据单推进器推力测试数据，通过多项式拟合建立控制输入到静态推力输出 </w:t>
      </w:r>
      <m:oMath>
        <m:sSub>
          <m:e>
            <m:r>
              <m:rPr>
                <m:sty m:val="i"/>
              </m:rPr>
              <w:rPr>
                <w:rFonts w:ascii="Cambria Math" w:hAnsi="Cambria Math" w:eastAsia="宋体"/>
                <w:sz w:val="24"/>
                <w:szCs w:val="24"/>
              </w:rPr>
              <m:t>T</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 xml:space="preserve"> 的映射函数，并确定正向与反向推力上下界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r>
          <m:rPr>
            <m:sty m:val="p"/>
          </m:rPr>
          <w:rPr>
            <w:rFonts w:ascii="Cambria Math" w:hAnsi="Cambria Math" w:eastAsia="宋体"/>
            <w:sz w:val="24"/>
            <w:szCs w:val="24"/>
          </w:rPr>
          <m:t> = −diag(</m:t>
        </m:r>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Y</m:t>
            </m:r>
          </m:e>
          <m:sub>
            <m:acc>
              <m:accPr>
                <m:chr m:val="̇"/>
              </m:accPr>
              <m:e>
                <m:r>
                  <m:rPr>
                    <m:sty m:val="i"/>
                  </m:rPr>
                  <w:rPr>
                    <w:rFonts w:ascii="Cambria Math" w:hAnsi="Cambria Math" w:eastAsia="宋体"/>
                    <w:sz w:val="24"/>
                    <w:szCs w:val="24"/>
                  </w:rPr>
                  <m:t>v</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Z</m:t>
            </m:r>
          </m:e>
          <m:sub>
            <m:acc>
              <m:accPr>
                <m:chr m:val="̇"/>
              </m:accPr>
              <m:e>
                <m:r>
                  <m:rPr>
                    <m:sty m:val="i"/>
                  </m:rPr>
                  <w:rPr>
                    <w:rFonts w:ascii="Cambria Math" w:hAnsi="Cambria Math" w:eastAsia="宋体"/>
                    <w:sz w:val="24"/>
                    <w:szCs w:val="24"/>
                  </w:rPr>
                  <m:t>w</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K</m:t>
            </m:r>
          </m:e>
          <m:sub>
            <m:acc>
              <m:accPr>
                <m:chr m:val="̇"/>
              </m:accPr>
              <m:e>
                <m:r>
                  <m:rPr>
                    <m:sty m:val="i"/>
                  </m:rPr>
                  <w:rPr>
                    <w:rFonts w:ascii="Cambria Math" w:hAnsi="Cambria Math" w:eastAsia="宋体"/>
                    <w:sz w:val="24"/>
                    <w:szCs w:val="24"/>
                  </w:rPr>
                  <m:t>p</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acc>
              <m:accPr>
                <m:chr m:val="̇"/>
              </m:accPr>
              <m:e>
                <m:r>
                  <m:rPr>
                    <m:sty m:val="i"/>
                  </m:rPr>
                  <w:rPr>
                    <w:rFonts w:ascii="Cambria Math" w:hAnsi="Cambria Math" w:eastAsia="宋体"/>
                    <w:sz w:val="24"/>
                    <w:szCs w:val="24"/>
                  </w:rPr>
                  <m:t>q</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（其中 </w:t>
      </w:r>
      <m:oMath>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 ~ </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oMath>
      <w:r>
        <w:rPr>
          <w:rFonts w:ascii="Times New Roman" w:hAnsi="Times New Roman" w:cs="Times New Roman" w:eastAsia="宋体"/>
          <w:b w:val="0"/>
          <w:i w:val="0"/>
          <w:color w:val="000000"/>
          <w:sz w:val="24"/>
        </w:rPr>
        <w:t xml:space="preserve"> 为各自由度附加质量水动力导数）以及线性、二次阻尼矩阵 </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oMath>
      <w:r>
        <w:rPr>
          <w:rFonts w:ascii="Times New Roman" w:hAnsi="Times New Roman" w:cs="Times New Roman" w:eastAsia="宋体"/>
          <w:b w:val="0"/>
          <w:i w:val="0"/>
          <w:color w:val="000000"/>
          <w:sz w:val="24"/>
        </w:rPr>
        <w:t>、</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针对水平位置/速度、潜深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、横滚与俯仰姿态角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及航向角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控制；研究过程中可根据辨识模型特性比选具体的模型补偿控制形式，并统一以无模型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 xml:space="preserve">结合图 1(b) 所示的推进器空间排布，将水平面四角呈 </w:t>
      </w:r>
      <m:oMath>
        <m:r>
          <m:rPr>
            <m:sty m:val="p"/>
          </m:rPr>
          <w:rPr>
            <w:rFonts w:ascii="Cambria Math" w:hAnsi="Cambria Math" w:eastAsia="宋体"/>
            <w:sz w:val="24"/>
            <w:szCs w:val="24"/>
          </w:rPr>
          <m:t>±45°</m:t>
        </m:r>
      </m:oMath>
      <w:r>
        <w:rPr>
          <w:rFonts w:ascii="Times New Roman" w:hAnsi="Times New Roman" w:cs="Times New Roman" w:eastAsia="宋体"/>
          <w:b w:val="0"/>
          <w:i w:val="0"/>
          <w:color w:val="000000"/>
          <w:sz w:val="24"/>
        </w:rPr>
        <w:t xml:space="preserve"> 矢量倾斜对称安装的 4 台推进器记为 </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 xml:space="preserve">（主控纵荡、横荡与偏航），将垂直面两侧垂向对称安装的 4 台推进器记为 </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（主控垂荡、横滚与俯仰）。</w:t>
      </w:r>
      <w:r>
        <w:rPr>
          <w:rFonts w:ascii="Times New Roman" w:hAnsi="Times New Roman" w:cs="Times New Roman" w:eastAsia="宋体"/>
          <w:b w:val="0"/>
          <w:i w:val="0"/>
          <w:color w:val="000000"/>
          <w:sz w:val="24"/>
        </w:rPr>
        <w:t xml:space="preserve">设第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台推进器（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）在附体系下的安装位置矢量为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、单位推力方向矢量为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