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highlight w:val="yellow"/>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highlight w:val="yellow"/>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highlight w:val="yellow"/>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Johansen 与 Fossen 系统总结了过驱动系统控制分配的数学规划与优化理论框架 </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 xml:space="preserve">，并进一步针对船舶与水下航行器梳理了无约束广义逆、加权伪逆及有界再分配等典型推力分配方法 </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rPr>
        <w:t xml:space="preserve">有效减小了推力饱和引起的力矩畸变 </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rPr>
        <w:t xml:space="preserve">提升了多推进器协调能力 </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highlight w:val="yellow"/>
        </w:rPr>
        <w:t xml:space="preserve">依据平台八推进器真实几何构型建立准确的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等依托基于 PX4 的软件在环仿真与水池实验完成了 HippoCampus X 水下平台的三维机动控制验证，证实了基于 PX4/SITL 构建水下航行器闭环仿真与验证体系的工程合理性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水动力模型与单推进器静态推力模型；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highlight w:val="yellow"/>
        </w:rPr>
        <w:t xml:space="preserve">建立基于平台真实推进器空间布局的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 xml:space="preserve">根据平台八推进器空间安装位置与推力方向建立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 xml:space="preserve">、刚体科氏力矩阵 </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与恢复力矩项 </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；依据单推进器推力测试数据，通过多项式拟合建立控制输入到静态推力输出 </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 xml:space="preserve"> 的映射函数，并确定正向与反向推力上下界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 = −diag(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（其中 </w:t>
      </w:r>
      <m:oMath>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oMath>
      <w:r>
        <w:rPr>
          <w:rFonts w:ascii="Times New Roman" w:hAnsi="Times New Roman" w:cs="Times New Roman" w:eastAsia="宋体"/>
          <w:b w:val="0"/>
          <w:i w:val="0"/>
          <w:color w:val="000000"/>
          <w:sz w:val="24"/>
          <w:highlight w:val="yellow"/>
        </w:rPr>
        <w:t xml:space="preserve"> 为各自由度附加质量水动力导数）以及线性、二次阻尼矩阵 </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 xml:space="preserve">设参考位置与姿态指令为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、参考速度为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与速度误差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。控制器输出的六维期望广义控制力与力矩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由闭环状态反馈项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与动力学模型补偿项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叠加构成（即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）。其中，闭环状态误差反馈项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针对水平位置/速度、潜深 </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 xml:space="preserve">、横滚与俯仰姿态角 </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及航向角 </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 xml:space="preserve"> 等控制通道，采用基于位置/姿态误差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 与速度/角速度误差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结合模块一辨识得到的航行器动力学模型，在控制律中引入恢复力矩项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与主导水动力阻尼项 </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 的前馈补偿，或结合惯性矩阵 </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 = </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 xml:space="preserve"> 时，控制器即为传统无模型 PID 控制；研究过程中可根据辨识模型特性比选具体的模型补偿控制形式，并统一以无模型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 xml:space="preserve">结合图 1(b) 所示的推进器空间排布，将水平面四角呈 </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 xml:space="preserve"> 矢量倾斜对称安装的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 xml:space="preserve">（主控纵荡、横荡与偏航），将垂直面两侧垂向对称安装的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highlight w:val="yellow"/>
        </w:rPr>
        <w:t xml:space="preserve">设第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台推进器（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）在附体系下的安装位置矢量为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、单位推力方向矢量为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r>
            <m:rPr>
              <m:sty m:val="bi"/>
            </m:rPr>
            <w:rPr>
              <w:rFonts w:ascii="Cambria Math" w:hAnsi="Cambria Math" w:eastAsia="宋体"/>
              <w:sz w:val="24"/>
              <w:szCs w:val="24"/>
            </w:rPr>
            <m:t>τ</m:t>
          </m:r>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具体求解时，先由 Moore-Penrose 伪逆或加权伪逆 </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 xml:space="preserve"> 计算最小二乘范数基准解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。当期望广义力/力矩较大导致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 xml:space="preserve"> 中存在超出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）引起的合成力矩方向偏转；通过与无约束伪逆直接硬截断方案对比，分析控制分配残差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）以及八推进器控制分配模块（订阅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、超调量、调节时间及控制分配残差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