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交接：强基线面板的分辨力与解释规则</w:t>
      </w:r>
    </w:p>
    <w:p>
      <w:pPr>
        <w:ind w:left="360"/>
      </w:pPr>
      <w:r>
        <w:rPr>
          <w:i/>
          <w:color w:val="555555"/>
        </w:rPr>
        <w:t>收件人：在 GPU4–7 上运行冻结面板（</w:t>
      </w:r>
      <w:r>
        <w:rPr>
          <w:rFonts w:ascii="Menlo" w:hAnsi="Menlo"/>
          <w:i/>
          <w:color w:val="555555"/>
        </w:rPr>
        <w:t>base_fedprox_5c</w:t>
      </w:r>
      <w:r>
        <w:rPr>
          <w:i/>
          <w:color w:val="555555"/>
        </w:rPr>
        <w:t xml:space="preserve"> / </w:t>
      </w:r>
      <w:r>
        <w:rPr>
          <w:rFonts w:ascii="Menlo" w:hAnsi="Menlo"/>
          <w:i/>
          <w:color w:val="555555"/>
        </w:rPr>
        <w:t>base_moon_5c</w:t>
      </w:r>
      <w:r>
        <w:rPr>
          <w:i/>
          <w:color w:val="555555"/>
        </w:rPr>
        <w:t>，seed 3–12）的协作方 agent</w:t>
      </w:r>
    </w:p>
    <w:p>
      <w:pPr>
        <w:ind w:left="360"/>
      </w:pPr>
      <w:r>
        <w:rPr>
          <w:i/>
          <w:color w:val="555555"/>
        </w:rPr>
        <w:t xml:space="preserve">发件人：本仓库 </w:t>
      </w:r>
      <w:r>
        <w:rPr>
          <w:rFonts w:ascii="Menlo" w:hAnsi="Menlo"/>
          <w:i/>
          <w:color w:val="555555"/>
        </w:rPr>
        <w:t>flosp</w:t>
      </w:r>
      <w:r>
        <w:rPr>
          <w:i/>
          <w:color w:val="555555"/>
        </w:rPr>
        <w:t>（FedOSP），2026-09-27</w:t>
      </w:r>
    </w:p>
    <w:p>
      <w:pPr>
        <w:ind w:left="360"/>
      </w:pPr>
      <w:r>
        <w:rPr>
          <w:i/>
          <w:color w:val="555555"/>
        </w:rPr>
        <w:t>配套：</w:t>
      </w:r>
      <w:r>
        <w:rPr>
          <w:rFonts w:ascii="Menlo" w:hAnsi="Menlo"/>
          <w:i/>
          <w:color w:val="555555"/>
        </w:rPr>
        <w:t>FedOSP_实验台账_终版_2026-09-27.md</w:t>
      </w:r>
      <w:r>
        <w:rPr>
          <w:i/>
          <w:color w:val="555555"/>
        </w:rPr>
        <w:t xml:space="preserve"> §8.1 / §12.3 / §12.5、</w:t>
      </w:r>
      <w:r>
        <w:rPr>
          <w:rFonts w:ascii="Menlo" w:hAnsi="Menlo"/>
          <w:i/>
          <w:color w:val="555555"/>
        </w:rPr>
        <w:t>预注册_方差分解_2026-09-27.md</w:t>
      </w:r>
    </w:p>
    <w:p>
      <w:r>
        <w:rPr>
          <w:b/>
        </w:rPr>
        <w:t>一句话：面板一个字都不用改，要改的只是结果的描述方式。</w:t>
      </w:r>
    </w:p>
    <w:p>
      <w:r>
        <w:t xml:space="preserve">下面每个数字都用 </w:t>
      </w:r>
      <w:r>
        <w:rPr>
          <w:rFonts w:ascii="Menlo" w:hAnsi="Menlo"/>
          <w:color w:val="C7254E"/>
        </w:rPr>
        <w:t>scipy.stats.nct</w:t>
      </w:r>
      <w:r>
        <w:t xml:space="preserve"> / </w:t>
      </w:r>
      <w:r>
        <w:rPr>
          <w:rFonts w:ascii="Menlo" w:hAnsi="Menlo"/>
          <w:color w:val="C7254E"/>
        </w:rPr>
        <w:t>scipy.stats.t</w:t>
      </w:r>
      <w:r>
        <w:t xml:space="preserve"> 独立复算过，不是转引。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1. 面板设计是对的，不要动</w:t>
      </w:r>
    </w:p>
    <w:p>
      <w:r>
        <w:t>预注册纪律的全部价值来自"开跑之后不动"。seed、阈值、基线集合、端点，</w:t>
      </w:r>
    </w:p>
    <w:p>
      <w:r>
        <w:t>在面板出完数之前都不得改动——包括为了让某条结论更好看而做的"小补丁"。</w:t>
      </w:r>
    </w:p>
    <w:p>
      <w:r>
        <w:t>本文档</w:t>
      </w:r>
      <w:r>
        <w:rPr>
          <w:b/>
        </w:rPr>
        <w:t>不提议任何设计变更</w:t>
      </w:r>
      <w:r>
        <w:t>。它只影响一件事：结果出来之后怎么措辞。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2. `ΔQWK ≥ 0.010` 这一条在 n=10 上是空条款</w:t>
      </w:r>
    </w:p>
    <w:p>
      <w:r>
        <w:t>判据是两条的合取，但"95% 配对 CI 下界 &gt; 0"本身已经蕴含</w:t>
      </w:r>
    </w:p>
    <w:p>
      <w:r>
        <w:t>$$\bar d &gt; t_{0.975,9}\cdot s/\sqrt{10} = 0.7154\,s$$</w:t>
      </w:r>
    </w:p>
    <w:p>
      <w:r>
        <w:t>在 $s = 0.025$ 时就是 $\bar d &gt; 0.0179$，已经远高于 0.010。</w:t>
      </w:r>
    </w:p>
    <w:p>
      <w:r>
        <w:t>40 万次蒙特卡洛（σ_d = 0.025）确认这一条几乎不起作用：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真实效应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只要 CI 下界 &gt; 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再加 Δ ≥ 0.010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这一条削掉</w:t>
            </w:r>
          </w:p>
        </w:tc>
      </w:tr>
      <w:tr>
        <w:tc>
          <w:tcPr>
            <w:tcW w:type="dxa" w:w="2160"/>
          </w:tcPr>
          <w:p>
            <w:r>
              <w:t>+0.010</w:t>
            </w:r>
          </w:p>
        </w:tc>
        <w:tc>
          <w:tcPr>
            <w:tcW w:type="dxa" w:w="2160"/>
          </w:tcPr>
          <w:p>
            <w:r>
              <w:t>20.4%</w:t>
            </w:r>
          </w:p>
        </w:tc>
        <w:tc>
          <w:tcPr>
            <w:tcW w:type="dxa" w:w="2160"/>
          </w:tcPr>
          <w:p>
            <w:r>
              <w:t>20.2%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0.16 pp</w:t>
            </w:r>
          </w:p>
        </w:tc>
      </w:tr>
      <w:tr>
        <w:tc>
          <w:tcPr>
            <w:tcW w:type="dxa" w:w="2160"/>
          </w:tcPr>
          <w:p>
            <w:r>
              <w:t>+0.020</w:t>
            </w:r>
          </w:p>
        </w:tc>
        <w:tc>
          <w:tcPr>
            <w:tcW w:type="dxa" w:w="2160"/>
          </w:tcPr>
          <w:p>
            <w:r>
              <w:t>61.6%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  <w:tc>
          <w:tcPr>
            <w:tcW w:type="dxa" w:w="2160"/>
          </w:tcPr>
          <w:p>
            <w:r>
              <w:t>0.07 pp</w:t>
            </w:r>
          </w:p>
        </w:tc>
      </w:tr>
      <w:tr>
        <w:tc>
          <w:tcPr>
            <w:tcW w:type="dxa" w:w="2160"/>
          </w:tcPr>
          <w:p>
            <w:r>
              <w:t>+0.029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0.01 pp</w:t>
            </w:r>
          </w:p>
        </w:tc>
      </w:tr>
    </w:tbl>
    <w:p/>
    <w:p>
      <w:r>
        <w:rPr>
          <w:b/>
        </w:rPr>
        <w:t>后果是描述层面的</w:t>
      </w:r>
      <w:r>
        <w:t>：判据看起来给了一个"最小临床有意义差异"的保护，实际没有。</w:t>
      </w:r>
    </w:p>
    <w:p>
      <w:r>
        <w:t xml:space="preserve">真正挡住的效应量由 n 和 σ_d 隐式决定（约 </w:t>
      </w:r>
      <w:r>
        <w:rPr>
          <w:b/>
        </w:rPr>
        <w:t>0.018</w:t>
      </w:r>
      <w:r>
        <w:t>），不是由写下来的 0.010 决定。</w:t>
      </w:r>
    </w:p>
    <w:p>
      <w:pPr>
        <w:ind w:left="360"/>
      </w:pPr>
      <w:r>
        <w:rPr>
          <w:b/>
          <w:i/>
          <w:color w:val="555555"/>
        </w:rPr>
        <w:t>建议的措辞</w:t>
      </w:r>
      <w:r>
        <w:rPr>
          <w:i/>
          <w:color w:val="555555"/>
        </w:rPr>
        <w:t xml:space="preserve">：把面板的分辨力报成 </w:t>
      </w:r>
      <w:r>
        <w:rPr>
          <w:b/>
          <w:i/>
          <w:color w:val="555555"/>
        </w:rPr>
        <w:t>~0.02</w:t>
      </w:r>
      <w:r>
        <w:rPr>
          <w:i/>
          <w:color w:val="555555"/>
        </w:rPr>
        <w:t>，不要报成 0.010。</w:t>
      </w:r>
    </w:p>
    <w:p>
      <w:pPr>
        <w:ind w:left="360"/>
      </w:pPr>
      <w:r>
        <w:rPr>
          <w:i/>
          <w:color w:val="555555"/>
        </w:rPr>
        <w:t>这不是改判据，是把判据实际在做的事说清楚。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3. 功效表（n = 10，σ_d = 0.025）</w:t>
      </w:r>
    </w:p>
    <w:p>
      <w:r>
        <w:t>$t_{0.975,9} = 2.2622$；Holm 最严的一步（3 个比较、双侧）是 $t_{1-0.05/6,9} = 2.9333$。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真实效应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ncp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裸功效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Holm 后（最保守）</w:t>
            </w:r>
          </w:p>
        </w:tc>
      </w:tr>
      <w:tr>
        <w:tc>
          <w:tcPr>
            <w:tcW w:type="dxa" w:w="2160"/>
          </w:tcPr>
          <w:p>
            <w:r>
              <w:t>+0.010</w:t>
            </w:r>
          </w:p>
        </w:tc>
        <w:tc>
          <w:tcPr>
            <w:tcW w:type="dxa" w:w="2160"/>
          </w:tcPr>
          <w:p>
            <w:r>
              <w:t>1.265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20.4%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9.4%</w:t>
            </w:r>
          </w:p>
        </w:tc>
      </w:tr>
      <w:tr>
        <w:tc>
          <w:tcPr>
            <w:tcW w:type="dxa" w:w="2160"/>
          </w:tcPr>
          <w:p>
            <w:r>
              <w:t>+0.020</w:t>
            </w:r>
          </w:p>
        </w:tc>
        <w:tc>
          <w:tcPr>
            <w:tcW w:type="dxa" w:w="2160"/>
          </w:tcPr>
          <w:p>
            <w:r>
              <w:t>2.530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61.6%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39.7%</w:t>
            </w:r>
          </w:p>
        </w:tc>
      </w:tr>
      <w:tr>
        <w:tc>
          <w:tcPr>
            <w:tcW w:type="dxa" w:w="2160"/>
          </w:tcPr>
          <w:p>
            <w:r>
              <w:t>+0.029</w:t>
            </w:r>
          </w:p>
        </w:tc>
        <w:tc>
          <w:tcPr>
            <w:tcW w:type="dxa" w:w="2160"/>
          </w:tcPr>
          <w:p>
            <w:r>
              <w:t>3.668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90.3%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75.1%</w:t>
            </w:r>
          </w:p>
        </w:tc>
      </w:tr>
    </w:tbl>
    <w:p/>
    <w:p>
      <w:r>
        <w:t>"Holm 后"取 α/3 那一步（等价于 Bonferroni）。Holm 是逐步下降的，实际功效取决于</w:t>
      </w:r>
    </w:p>
    <w:p>
      <w:r>
        <w:t>另两个比较是否先被拒，所以真值落在区间里：+0.010 是 9.4%–20.4%，+0.029 是 75.1%–90.3%。</w:t>
      </w:r>
    </w:p>
    <w:p>
      <w:r>
        <w:t>按本仓库实测的 σ_d = 0.0272 算会更低：+0.010 → 17.9% / 8.0%；+0.029 → 85.0% / 66.8%。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4. σ_d 取决于两个方法有多像，所以每个比较的分辨力不同</w:t>
      </w:r>
    </w:p>
    <w:p>
      <w:r>
        <w:t>配对差的 SD 不是常数。两个方法越像，共同的 seed 效应抵消得越干净，σ_d 越小。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比较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σ_d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n=10 的 CI 半宽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 xml:space="preserve">vs </w:t>
            </w:r>
            <w:r>
              <w:rPr>
                <w:b/>
              </w:rPr>
              <w:t>FedProto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0.0147</w:t>
            </w:r>
          </w:p>
        </w:tc>
        <w:tc>
          <w:tcPr>
            <w:tcW w:type="dxa" w:w="2160"/>
          </w:tcPr>
          <w:p>
            <w:r>
              <w:t>±0.0105</w:t>
            </w:r>
          </w:p>
        </w:tc>
        <w:tc>
          <w:tcPr>
            <w:tcW w:type="dxa" w:w="2160"/>
          </w:tcPr>
          <w:p>
            <w:r>
              <w:t>由已发表 CI $[-0.0101,+0.0110]$ 反推</w:t>
            </w:r>
          </w:p>
        </w:tc>
      </w:tr>
      <w:tr>
        <w:tc>
          <w:tcPr>
            <w:tcW w:type="dxa" w:w="2160"/>
          </w:tcPr>
          <w:p>
            <w:r>
              <w:t>中间参考</w:t>
            </w:r>
          </w:p>
        </w:tc>
        <w:tc>
          <w:tcPr>
            <w:tcW w:type="dxa" w:w="2160"/>
          </w:tcPr>
          <w:p>
            <w:r>
              <w:t>0.025</w:t>
            </w:r>
          </w:p>
        </w:tc>
        <w:tc>
          <w:tcPr>
            <w:tcW w:type="dxa" w:w="2160"/>
          </w:tcPr>
          <w:p>
            <w:r>
              <w:t>±0.0179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 xml:space="preserve">vs </w:t>
            </w:r>
            <w:r>
              <w:rPr>
                <w:b/>
              </w:rPr>
              <w:t>FedAvg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0.0272</w:t>
            </w:r>
          </w:p>
        </w:tc>
        <w:tc>
          <w:tcPr>
            <w:tcW w:type="dxa" w:w="2160"/>
          </w:tcPr>
          <w:p>
            <w:r>
              <w:t>±0.0195</w:t>
            </w:r>
          </w:p>
        </w:tc>
        <w:tc>
          <w:tcPr>
            <w:tcW w:type="dxa" w:w="2160"/>
          </w:tcPr>
          <w:p>
            <w:r>
              <w:t>10 对实测（台账 §8）</w:t>
            </w:r>
          </w:p>
        </w:tc>
      </w:tr>
    </w:tbl>
    <w:p/>
    <w:p>
      <w:r>
        <w:t>半宽 $= t_{0.975,9}\,\sigma_d/\sqrt{10} = 0.7154\,\sigma_d$。</w:t>
      </w:r>
    </w:p>
    <w:p>
      <w:r>
        <w:t>FedProx 与 MOON 都是</w:t>
      </w:r>
      <w:r>
        <w:rPr>
          <w:b/>
        </w:rPr>
        <w:t>通用异质性方法</w:t>
      </w:r>
      <w:r>
        <w:t>，机制上离 FedAvg 比离 FedProto 近，</w:t>
      </w:r>
    </w:p>
    <w:p>
      <w:r>
        <w:t xml:space="preserve">所以预期 σ_d 在 </w:t>
      </w:r>
      <w:r>
        <w:rPr>
          <w:b/>
        </w:rPr>
        <w:t>0.025–0.027</w:t>
      </w:r>
      <w:r>
        <w:t xml:space="preserve"> 一带，而不是 0.0147。</w:t>
      </w:r>
    </w:p>
    <w:p>
      <w:r>
        <w:t>真实 σ_d 要等面板出数后按 seed 配对现算——上面只是事前的量级预期。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5. "排除某个效应"和"声称某个效应"是两个判据，答案差一倍</w:t>
      </w:r>
    </w:p>
    <w:p>
      <w:pPr>
        <w:pStyle w:val="ListBullet"/>
        <w:ind w:left="360"/>
      </w:pPr>
      <w:r>
        <w:rPr>
          <w:b/>
        </w:rPr>
        <w:t>排除 0.010</w:t>
      </w:r>
      <w:r>
        <w:t>：只要 CI 半宽 &lt; 0.010（点估计接近 0 时 CI 上界落在 0.010 以下）；</w:t>
      </w:r>
    </w:p>
    <w:p>
      <w:pPr>
        <w:pStyle w:val="ListBullet"/>
        <w:ind w:left="360"/>
      </w:pPr>
      <w:r>
        <w:rPr>
          <w:b/>
        </w:rPr>
        <w:t>声称 0.010</w:t>
      </w:r>
      <w:r>
        <w:t>：还要整条 CI 在零以上，即 80% 功效。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σ_d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排除 0.010 所需 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声称 0.010 所需 n</w:t>
            </w:r>
          </w:p>
        </w:tc>
      </w:tr>
      <w:tr>
        <w:tc>
          <w:tcPr>
            <w:tcW w:type="dxa" w:w="2880"/>
          </w:tcPr>
          <w:p>
            <w:r>
              <w:t>0.0147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0.025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0.0272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61</w:t>
            </w:r>
          </w:p>
        </w:tc>
      </w:tr>
    </w:tbl>
    <w:p/>
    <w:p>
      <w:pPr>
        <w:pStyle w:val="Heading3"/>
      </w:pPr>
      <w:r>
        <w:t>修正后的样本量表（σ_d = 0.0272，双侧 α=0.05，功效 0.8）</w:t>
      </w:r>
    </w:p>
    <w:p>
      <w:r>
        <w:t>⚠️ **广泛使用的正态近似 $n=(z_{0.975}+z_{0.80})^2\sigma_d^2/\Delta^2$（系数 7.849）</w:t>
      </w:r>
    </w:p>
    <w:p>
      <w:r>
        <w:t>在这个区间每一格都少 2 个配对。** 它忽略了临界值是 $t_{n-1}$ 而不是 $z$、</w:t>
      </w:r>
    </w:p>
    <w:p>
      <w:r>
        <w:t>且 $s$ 是估计量（统计量服从非中心 t）；两处偏差同向，都是低估。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真实差异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正态近似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精确非中心 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相对误差</w:t>
            </w:r>
          </w:p>
        </w:tc>
      </w:tr>
      <w:tr>
        <w:tc>
          <w:tcPr>
            <w:tcW w:type="dxa" w:w="2160"/>
          </w:tcPr>
          <w:p>
            <w:r>
              <w:t>+0.005</w:t>
            </w:r>
          </w:p>
        </w:tc>
        <w:tc>
          <w:tcPr>
            <w:tcW w:type="dxa" w:w="2160"/>
          </w:tcPr>
          <w:p>
            <w:r>
              <w:t>233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235</w:t>
            </w:r>
          </w:p>
        </w:tc>
        <w:tc>
          <w:tcPr>
            <w:tcW w:type="dxa" w:w="2160"/>
          </w:tcPr>
          <w:p>
            <w:r>
              <w:t>+0.9%</w:t>
            </w:r>
          </w:p>
        </w:tc>
      </w:tr>
      <w:tr>
        <w:tc>
          <w:tcPr>
            <w:tcW w:type="dxa" w:w="2160"/>
          </w:tcPr>
          <w:p>
            <w:r>
              <w:t>+0.010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61</w:t>
            </w:r>
          </w:p>
        </w:tc>
        <w:tc>
          <w:tcPr>
            <w:tcW w:type="dxa" w:w="2160"/>
          </w:tcPr>
          <w:p>
            <w:r>
              <w:t>+3.4%</w:t>
            </w:r>
          </w:p>
        </w:tc>
      </w:tr>
      <w:tr>
        <w:tc>
          <w:tcPr>
            <w:tcW w:type="dxa" w:w="2160"/>
          </w:tcPr>
          <w:p>
            <w:r>
              <w:t>+0.015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28</w:t>
            </w:r>
          </w:p>
        </w:tc>
        <w:tc>
          <w:tcPr>
            <w:tcW w:type="dxa" w:w="2160"/>
          </w:tcPr>
          <w:p>
            <w:r>
              <w:t>+7.7%</w:t>
            </w:r>
          </w:p>
        </w:tc>
      </w:tr>
      <w:tr>
        <w:tc>
          <w:tcPr>
            <w:tcW w:type="dxa" w:w="2160"/>
          </w:tcPr>
          <w:p>
            <w:r>
              <w:t>+0.020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17</w:t>
            </w:r>
          </w:p>
        </w:tc>
        <w:tc>
          <w:tcPr>
            <w:tcW w:type="dxa" w:w="2160"/>
          </w:tcPr>
          <w:p>
            <w:r>
              <w:t>+13%</w:t>
            </w:r>
          </w:p>
        </w:tc>
      </w:tr>
      <w:tr>
        <w:tc>
          <w:tcPr>
            <w:tcW w:type="dxa" w:w="2160"/>
          </w:tcPr>
          <w:p>
            <w:r>
              <w:t>+0.030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+29%</w:t>
            </w:r>
          </w:p>
        </w:tc>
      </w:tr>
      <w:tr>
        <w:tc>
          <w:tcPr>
            <w:tcW w:type="dxa" w:w="2160"/>
          </w:tcPr>
          <w:p>
            <w:r>
              <w:t>+0.050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+67%</w:t>
            </w:r>
          </w:p>
        </w:tc>
      </w:tr>
    </w:tbl>
    <w:p/>
    <w:p>
      <w:r>
        <w:t>绝对量级不变，但 n 越小相对误差越大——正好落在实际会用到的那一端。</w:t>
      </w:r>
    </w:p>
    <w:p>
      <w:r>
        <w:t xml:space="preserve">本仓库的实现是 </w:t>
      </w:r>
      <w:r>
        <w:rPr>
          <w:rFonts w:ascii="Menlo" w:hAnsi="Menlo"/>
          <w:color w:val="C7254E"/>
        </w:rPr>
        <w:t>fedosp/stats.py::pairs_needed()</w:t>
      </w:r>
      <w:r>
        <w:t>，可直接 import 复算。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6. "算法增量"那一支已经先验失效</w:t>
      </w:r>
    </w:p>
    <w:p>
      <w:r>
        <w:t>判据要求"对</w:t>
      </w:r>
      <w:r>
        <w:rPr>
          <w:b/>
        </w:rPr>
        <w:t>每一个</w:t>
      </w:r>
      <w:r>
        <w:t>关键基线都成立"，而 FedProto 是必须比的基线之一，</w:t>
      </w:r>
    </w:p>
    <w:p>
      <w:r>
        <w:t>该比较的实测值已经是：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比较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效应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同向 seed</w:t>
            </w:r>
          </w:p>
        </w:tc>
      </w:tr>
      <w:tr>
        <w:tc>
          <w:tcPr>
            <w:tcW w:type="dxa" w:w="2160"/>
          </w:tcPr>
          <w:p>
            <w:r>
              <w:t>FedOSP-R − FedProto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+0.00045</w:t>
            </w:r>
          </w:p>
        </w:tc>
        <w:tc>
          <w:tcPr>
            <w:tcW w:type="dxa" w:w="2160"/>
          </w:tcPr>
          <w:p>
            <w:r>
              <w:t>[−0.0101, +0.0110]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</w:tr>
    </w:tbl>
    <w:p/>
    <w:p>
      <w:r>
        <w:t>合取判据里有一项确定过不了，所以"存在算法增量"这个结论在面板开跑之前就已不可能成立。</w:t>
      </w:r>
    </w:p>
    <w:p>
      <w:r>
        <w:rPr>
          <w:b/>
        </w:rPr>
        <w:t>这不是对面板的批评。</w:t>
      </w:r>
      <w:r>
        <w:t xml:space="preserve"> 面板问的真正问题是另一个，见下，而且它对那个问题功效充足。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7. 面板真正的交付物：量化 FedAvg 把强基线低估了多少</w:t>
      </w:r>
    </w:p>
    <w:p>
      <w:r>
        <w:t xml:space="preserve">已知 FedProto − FedAvg ≈ </w:t>
      </w:r>
      <w:r>
        <w:rPr>
          <w:b/>
        </w:rPr>
        <w:t>+0.029</w:t>
      </w:r>
      <w:r>
        <w:t>（台账 §1 推得）。若 FedProx 与 MOON 也在</w:t>
      </w:r>
    </w:p>
    <w:p>
      <w:r>
        <w:t>同一量级上超过 FedAvg，结论就从"我们的组件冗余"升级为一个</w:t>
      </w:r>
      <w:r>
        <w:rPr>
          <w:b/>
        </w:rPr>
        <w:t>更强、更普适</w:t>
      </w:r>
      <w:r>
        <w:t>的主张：</w:t>
      </w:r>
    </w:p>
    <w:p>
      <w:pPr>
        <w:ind w:left="360"/>
      </w:pPr>
      <w:r>
        <w:rPr>
          <w:i/>
          <w:color w:val="555555"/>
        </w:rPr>
        <w:t>领域默认的 FedAvg 基线系统性地高报了方法增益，</w:t>
      </w:r>
    </w:p>
    <w:p>
      <w:pPr>
        <w:ind w:left="360"/>
      </w:pPr>
      <w:r>
        <w:rPr>
          <w:i/>
          <w:color w:val="555555"/>
        </w:rPr>
        <w:t>因此"相对 FedAvg 的提升"不能归因为方法新颖性。</w:t>
      </w:r>
    </w:p>
    <w:p>
      <w:r>
        <w:t xml:space="preserve">对这个问题（检出约 0.029）面板功效充足：裸 </w:t>
      </w:r>
      <w:r>
        <w:rPr>
          <w:b/>
        </w:rPr>
        <w:t>90.3%</w:t>
      </w:r>
      <w:r>
        <w:t xml:space="preserve">、Holm 后 </w:t>
      </w:r>
      <w:r>
        <w:rPr>
          <w:b/>
        </w:rPr>
        <w:t>75.1%</w:t>
      </w:r>
      <w:r>
        <w:t>（σ_d=0.025）。</w:t>
      </w:r>
    </w:p>
    <w:p>
      <w:pPr>
        <w:pStyle w:val="Heading3"/>
      </w:pPr>
      <w:r>
        <w:t>三种可能的结果，每一种都可发表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读法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论文里怎么用</w:t>
            </w:r>
          </w:p>
        </w:tc>
      </w:tr>
      <w:tr>
        <w:tc>
          <w:tcPr>
            <w:tcW w:type="dxa" w:w="2880"/>
          </w:tcPr>
          <w:p>
            <w:r>
              <w:t>FedProx / MOON 也 ≈ +0.029</w:t>
            </w:r>
          </w:p>
        </w:tc>
        <w:tc>
          <w:tcPr>
            <w:tcW w:type="dxa" w:w="2880"/>
          </w:tcPr>
          <w:p>
            <w:r>
              <w:t>弱基线偏差是</w:t>
            </w:r>
            <w:r>
              <w:rPr>
                <w:b/>
              </w:rPr>
              <w:t>普遍现象</w:t>
            </w:r>
            <w:r>
              <w:t>，不是 FedProto 特有</w:t>
            </w:r>
          </w:p>
        </w:tc>
        <w:tc>
          <w:tcPr>
            <w:tcW w:type="dxa" w:w="2880"/>
          </w:tcPr>
          <w:p>
            <w:r>
              <w:t>最强的一种：给出"相对 FedAvg 的增益"的系统性折扣量</w:t>
            </w:r>
          </w:p>
        </w:tc>
      </w:tr>
      <w:tr>
        <w:tc>
          <w:tcPr>
            <w:tcW w:type="dxa" w:w="2880"/>
          </w:tcPr>
          <w:p>
            <w:r>
              <w:t>只有一个接近 +0.029</w:t>
            </w:r>
          </w:p>
        </w:tc>
        <w:tc>
          <w:tcPr>
            <w:tcW w:type="dxa" w:w="2880"/>
          </w:tcPr>
          <w:p>
            <w:r>
              <w:t>偏差</w:t>
            </w:r>
            <w:r>
              <w:rPr>
                <w:b/>
              </w:rPr>
              <w:t>依方法族而异</w:t>
            </w:r>
          </w:p>
        </w:tc>
        <w:tc>
          <w:tcPr>
            <w:tcW w:type="dxa" w:w="2880"/>
          </w:tcPr>
          <w:p>
            <w:r>
              <w:t>按方法族分别陈述，指出哪一类会被 FedAvg 低估</w:t>
            </w:r>
          </w:p>
        </w:tc>
      </w:tr>
      <w:tr>
        <w:tc>
          <w:tcPr>
            <w:tcW w:type="dxa" w:w="2880"/>
          </w:tcPr>
          <w:p>
            <w:r>
              <w:t>两个都 ≈ 0（贴着 FedAvg）</w:t>
            </w:r>
          </w:p>
        </w:tc>
        <w:tc>
          <w:tcPr>
            <w:tcW w:type="dxa" w:w="2880"/>
          </w:tcPr>
          <w:p>
            <w:r>
              <w:t>FedProto 的 +0.029 是</w:t>
            </w:r>
            <w:r>
              <w:rPr>
                <w:b/>
              </w:rPr>
              <w:t>原型机制特有</w:t>
            </w:r>
            <w:r>
              <w:t>，不是通用现象</w:t>
            </w:r>
          </w:p>
        </w:tc>
        <w:tc>
          <w:tcPr>
            <w:tcW w:type="dxa" w:w="2880"/>
          </w:tcPr>
          <w:p>
            <w:r>
              <w:t>反而收窄并加强了 §6 的归因链</w:t>
            </w:r>
          </w:p>
        </w:tc>
      </w:tr>
    </w:tbl>
    <w:p/>
    <w:p>
      <w:r>
        <w:t>三种都不需要改判据、不需要补实验。</w:t>
      </w:r>
      <w:r>
        <w:rPr>
          <w:b/>
        </w:rPr>
        <w:t>不存在"白跑"。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8. 两个请求（是请求，不是指令）</w:t>
      </w:r>
    </w:p>
    <w:p>
      <w:pPr>
        <w:pStyle w:val="Heading3"/>
      </w:pPr>
      <w:r>
        <w:t>8.1 请明确 Brier 的口径和类别数</w:t>
      </w:r>
    </w:p>
    <w:p>
      <w:r>
        <w:t>Brier 有 $[0,2]$（按类求和，不折半）与 $[0,1]$（再除以 2）两种约定，</w:t>
      </w:r>
    </w:p>
    <w:p>
      <w:r>
        <w:rPr>
          <w:b/>
        </w:rPr>
        <w:t>相差恰好 2 倍，混用不报错</w:t>
      </w:r>
      <w:r>
        <w:t>。本仓库用 $[0,2]$、</w:t>
      </w:r>
      <w:r>
        <w:rPr>
          <w:b/>
        </w:rPr>
        <w:t>5 类</w:t>
      </w:r>
    </w:p>
    <w:p>
      <w:r>
        <w:t>（</w:t>
      </w:r>
      <w:r>
        <w:rPr>
          <w:rFonts w:ascii="Menlo" w:hAnsi="Menlo"/>
          <w:color w:val="C7254E"/>
        </w:rPr>
        <w:t>fedosp/metrics.py::multiclass_brier</w:t>
      </w:r>
      <w:r>
        <w:t>）。</w:t>
      </w:r>
    </w:p>
    <w:p>
      <w:r>
        <w:t>已核定：贵方报告的 0.507 / 0.604 与 $[0,2]$ 一致、与 $[0,1]$ 矛盾。</w:t>
      </w:r>
    </w:p>
    <w:p>
      <w:r>
        <w:t>决定性判据是一条与分布无关的上界——校准模型满足</w:t>
      </w:r>
    </w:p>
    <w:p>
      <w:r>
        <w:t>$\mathrm{Brier}_{[0,2]} = 1-\mathbb{E}\lVert p\rVert^2$ 且 $\lVert p\rVert^2 \ge 1/K$，</w:t>
      </w:r>
    </w:p>
    <w:p>
      <w:r>
        <w:t>故 5 类校准模型必有 $\mathrm{Brier}_{[0,2]} \le 0.8$；若 0.507 读作 $[0,1]$，</w:t>
      </w:r>
    </w:p>
    <w:p>
      <w:r>
        <w:t>换算过来是 1.014，要求 $\mathbb{E}\lVert p\rVert^2 = -0.014 &lt; 0$，不可能。</w:t>
      </w:r>
    </w:p>
    <w:p>
      <w:r>
        <w:t xml:space="preserve">⚠️ </w:t>
      </w:r>
      <w:r>
        <w:rPr>
          <w:b/>
        </w:rPr>
        <w:t>但类别数 K 从未被核对过。</w:t>
      </w:r>
      <w:r>
        <w:t xml:space="preserve"> 若贵方是在 referable 二分类上算 Brier，</w:t>
      </w:r>
    </w:p>
    <w:p>
      <w:r>
        <w:t xml:space="preserve">参照点变成 </w:t>
      </w:r>
      <w:r>
        <w:rPr>
          <w:b/>
        </w:rPr>
        <w:t>0.5 / 0.25</w:t>
      </w:r>
      <w:r>
        <w:t xml:space="preserve"> 而不是 0.8 / 0.4，上面整条推理</w:t>
      </w:r>
      <w:r>
        <w:rPr>
          <w:b/>
        </w:rPr>
        <w:t>全部不适用</w:t>
      </w:r>
      <w:r>
        <w:t>。</w:t>
      </w:r>
    </w:p>
    <w:p>
      <w:pPr>
        <w:ind w:left="360"/>
      </w:pPr>
      <w:r>
        <w:rPr>
          <w:b/>
          <w:i/>
          <w:color w:val="555555"/>
        </w:rPr>
        <w:t>请求</w:t>
      </w:r>
      <w:r>
        <w:rPr>
          <w:i/>
          <w:color w:val="555555"/>
        </w:rPr>
        <w:t>：在报告里显式写出 K。</w:t>
      </w:r>
    </w:p>
    <w:p>
      <w:pPr>
        <w:ind w:left="360"/>
      </w:pPr>
      <w:r>
        <w:rPr>
          <w:b/>
          <w:i/>
          <w:color w:val="555555"/>
        </w:rPr>
        <w:t>检出办法</w:t>
      </w:r>
      <w:r>
        <w:rPr>
          <w:i/>
          <w:color w:val="555555"/>
        </w:rPr>
        <w:t xml:space="preserve">（最可靠）：拿 </w:t>
      </w:r>
      <w:r>
        <w:rPr>
          <w:rFonts w:ascii="Menlo" w:hAnsi="Menlo"/>
          <w:i/>
          <w:color w:val="555555"/>
        </w:rPr>
        <w:t>predictions.npz</w:t>
      </w:r>
      <w:r>
        <w:rPr>
          <w:i/>
          <w:color w:val="555555"/>
        </w:rPr>
        <w:t xml:space="preserve"> 用双方实现各算一遍，</w:t>
      </w:r>
    </w:p>
    <w:p>
      <w:pPr>
        <w:ind w:left="360"/>
      </w:pPr>
      <w:r>
        <w:rPr>
          <w:i/>
          <w:color w:val="555555"/>
        </w:rPr>
        <w:t xml:space="preserve">比值若恰为 </w:t>
      </w:r>
      <w:r>
        <w:rPr>
          <w:b/>
          <w:i/>
          <w:color w:val="555555"/>
        </w:rPr>
        <w:t>2.000</w:t>
      </w:r>
      <w:r>
        <w:rPr>
          <w:i/>
          <w:color w:val="555555"/>
        </w:rPr>
        <w:t xml:space="preserve"> 就是口径不一致；若是 1.000 则一致。</w:t>
      </w:r>
    </w:p>
    <w:p>
      <w:pPr>
        <w:ind w:left="360"/>
      </w:pPr>
      <w:r>
        <w:rPr>
          <w:i/>
          <w:color w:val="555555"/>
        </w:rPr>
        <w:t>没有 npz 时看区间：5 类问题上 0.45–0.65 只能是 $[0,2]$，0.22–0.33 只能是 $[0,1]$。</w:t>
      </w:r>
    </w:p>
    <w:p>
      <w:pPr>
        <w:pStyle w:val="Heading3"/>
      </w:pPr>
      <w:r>
        <w:t>8.2 请把分叉的代码推回仓库，特别是 `--log-lora-delta`</w:t>
      </w:r>
    </w:p>
    <w:p>
      <w:r>
        <w:rPr>
          <w:rFonts w:ascii="Menlo" w:hAnsi="Menlo"/>
          <w:color w:val="C7254E"/>
        </w:rPr>
        <w:t>--log-lora-delta</w:t>
      </w:r>
      <w:r>
        <w:t>（LoRA 逐轮聚合误差 δ 的日志）目前</w:t>
      </w:r>
      <w:r>
        <w:rPr>
          <w:b/>
        </w:rPr>
        <w:t>只存在于贵方机器</w:t>
      </w:r>
      <w:r>
        <w:t>。</w:t>
      </w:r>
    </w:p>
    <w:p>
      <w:r>
        <w:t>没有它，</w:t>
      </w:r>
      <w:r>
        <w:rPr>
          <w:rFonts w:ascii="Menlo" w:hAnsi="Menlo"/>
          <w:color w:val="C7254E"/>
        </w:rPr>
        <w:t>configs/benchmark_matrix.csv</w:t>
      </w:r>
      <w:r>
        <w:t xml:space="preserve"> 里的 </w:t>
      </w:r>
      <w:r>
        <w:rPr>
          <w:rFonts w:ascii="Menlo" w:hAnsi="Menlo"/>
          <w:color w:val="C7254E"/>
        </w:rPr>
        <w:t>diag_delta</w:t>
      </w:r>
      <w:r>
        <w:t xml:space="preserve"> 一行在本仓库跑不起来——</w:t>
      </w:r>
    </w:p>
    <w:p>
      <w:r>
        <w:t xml:space="preserve">它的 </w:t>
      </w:r>
      <w:r>
        <w:rPr>
          <w:b/>
        </w:rPr>
        <w:t>3.3 GPU·h 已经列进预算，却花不出去</w:t>
      </w:r>
      <w:r>
        <w:t>，图 4（δ 轨迹）也就补不齐 seed。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9. 请不要给运行中的面板加 `--eval-external-every`</w:t>
      </w:r>
    </w:p>
    <w:p>
      <w:r>
        <w:t>那是协议变更，会毁掉预注册的全部价值，而收益本来就不需要从这里拿。</w:t>
      </w:r>
    </w:p>
    <w:p>
      <w:r>
        <w:t>方差分解另有独立预注册（</w:t>
      </w:r>
      <w:r>
        <w:rPr>
          <w:rFonts w:ascii="Menlo" w:hAnsi="Menlo"/>
          <w:color w:val="C7254E"/>
        </w:rPr>
        <w:t>reports/预注册_方差分解_2026-09-27.md</w:t>
      </w:r>
      <w:r>
        <w:t>）和独立矩阵</w:t>
      </w:r>
    </w:p>
    <w:p>
      <w:r>
        <w:t>（</w:t>
      </w:r>
      <w:r>
        <w:rPr>
          <w:rFonts w:ascii="Menlo" w:hAnsi="Menlo"/>
          <w:color w:val="C7254E"/>
        </w:rPr>
        <w:t>configs/variance_decomposition.csv</w:t>
      </w:r>
      <w:r>
        <w:t xml:space="preserve">，10 run / </w:t>
      </w:r>
      <w:r>
        <w:rPr>
          <w:b/>
        </w:rPr>
        <w:t>11.8 GPU·h</w:t>
      </w:r>
      <w:r>
        <w:t>），跑与不跑都不影响面板。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r>
        <w:t>*本文档只描述结果解释规则，不构成对已冻结面板的任何设计变更。*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