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分析：MOON 终裁与机制阶梯</w:t>
      </w:r>
    </w:p>
    <w:p>
      <w:pPr>
        <w:ind w:left="360"/>
      </w:pPr>
      <w:r>
        <w:rPr>
          <w:i/>
          <w:color w:val="555555"/>
        </w:rPr>
        <w:t>日期：2026-09-30　基线：</w:t>
      </w:r>
      <w:r>
        <w:rPr>
          <w:rFonts w:ascii="Menlo" w:hAnsi="Menlo"/>
          <w:i/>
          <w:color w:val="555555"/>
        </w:rPr>
        <w:t>预注册_MOON机制判别_2026-09-27.md</w:t>
      </w:r>
      <w:r>
        <w:rPr>
          <w:i/>
          <w:color w:val="555555"/>
        </w:rPr>
        <w:t>（R1–R4 冻结于读数前）</w:t>
      </w:r>
    </w:p>
    <w:p>
      <w:pPr>
        <w:ind w:left="360"/>
      </w:pPr>
      <w:r>
        <w:rPr>
          <w:i/>
          <w:color w:val="555555"/>
        </w:rPr>
        <w:t>数据来源：协作方 GPU 机器上报的最终强基线面板（seed 3–12，Messidor-2 QWK）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按预注册逐字落判定</w:t>
      </w:r>
      <w:r>
        <w:rPr>
          <w:i/>
          <w:color w:val="555555"/>
        </w:rPr>
        <w:t>；不改判据、不方法救援。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</w:t>
      </w:r>
    </w:p>
    <w:p>
      <w:r>
        <w:t>**点估计阶梯把 +0.029 推到类原型层（FedProto ≈98%，MOON ≈9%，FedProx ≈1%），</w:t>
      </w:r>
    </w:p>
    <w:p>
      <w:r>
        <w:t>但按预注册 R1–R4，MOON 格落入 R3（不可判定）——Holm p 过关不等于 Holm CI 下界 &gt; 0。</w:t>
      </w:r>
    </w:p>
    <w:p>
      <w:r>
        <w:t>方法创新仍为零；方法论文不能成立。**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协作方终值（信任为已报）</w:t>
      </w:r>
    </w:p>
    <w:p>
      <w:r>
        <w:t>全部 = FedOSP-R − 基线，seeds 3–12，Messidor-2 QWK，配对 t CI。</w:t>
      </w:r>
    </w:p>
    <w:p>
      <w:r>
        <w:t>Holm 族 = {FedProto, FedProx, MOON}。面板 20/20，tier=main，n=1744，零失败读数。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基线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QWK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未校正 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d_z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协作方 call</w:t>
            </w:r>
          </w:p>
        </w:tc>
      </w:tr>
      <w:tr>
        <w:tc>
          <w:tcPr>
            <w:tcW w:type="dxa" w:w="1234"/>
          </w:tcPr>
          <w:p>
            <w:r>
              <w:t>FedAvg</w:t>
            </w:r>
          </w:p>
        </w:tc>
        <w:tc>
          <w:tcPr>
            <w:tcW w:type="dxa" w:w="1234"/>
          </w:tcPr>
          <w:p>
            <w:r>
              <w:t>+0.0290</w:t>
            </w:r>
          </w:p>
        </w:tc>
        <w:tc>
          <w:tcPr>
            <w:tcW w:type="dxa" w:w="1234"/>
          </w:tcPr>
          <w:p>
            <w:r>
              <w:t>[+0.0096, +0.0485]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1.066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配置级增益</w:t>
            </w:r>
          </w:p>
        </w:tc>
      </w:tr>
      <w:tr>
        <w:tc>
          <w:tcPr>
            <w:tcW w:type="dxa" w:w="1234"/>
          </w:tcPr>
          <w:p>
            <w:r>
              <w:t>FedProto</w:t>
            </w:r>
          </w:p>
        </w:tc>
        <w:tc>
          <w:tcPr>
            <w:tcW w:type="dxa" w:w="1234"/>
          </w:tcPr>
          <w:p>
            <w:r>
              <w:t>+0.00045</w:t>
            </w:r>
          </w:p>
        </w:tc>
        <w:tc>
          <w:tcPr>
            <w:tcW w:type="dxa" w:w="1234"/>
          </w:tcPr>
          <w:p>
            <w:r>
              <w:t>[−0.0101, +0.0110]</w:t>
            </w:r>
          </w:p>
        </w:tc>
        <w:tc>
          <w:tcPr>
            <w:tcW w:type="dxa" w:w="1234"/>
          </w:tcPr>
          <w:p>
            <w:r>
              <w:t>5/10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  <w:tc>
          <w:tcPr>
            <w:tcW w:type="dxa" w:w="1234"/>
          </w:tcPr>
          <w:p>
            <w:r>
              <w:t>0.9245</w:t>
            </w:r>
          </w:p>
        </w:tc>
        <w:tc>
          <w:tcPr>
            <w:tcW w:type="dxa" w:w="1234"/>
          </w:tcPr>
          <w:p>
            <w:r>
              <w:t>无同族增量</w:t>
            </w:r>
          </w:p>
        </w:tc>
      </w:tr>
      <w:tr>
        <w:tc>
          <w:tcPr>
            <w:tcW w:type="dxa" w:w="1234"/>
          </w:tcPr>
          <w:p>
            <w:r>
              <w:t>FedProx</w:t>
            </w:r>
          </w:p>
        </w:tc>
        <w:tc>
          <w:tcPr>
            <w:tcW w:type="dxa" w:w="1234"/>
          </w:tcPr>
          <w:p>
            <w:r>
              <w:t>+0.0287</w:t>
            </w:r>
          </w:p>
        </w:tc>
        <w:tc>
          <w:tcPr>
            <w:tcW w:type="dxa" w:w="1234"/>
          </w:tcPr>
          <w:p>
            <w:r>
              <w:t>[+0.0142, +0.0431]</w:t>
            </w:r>
          </w:p>
        </w:tc>
        <w:tc>
          <w:tcPr>
            <w:tcW w:type="dxa" w:w="1234"/>
          </w:tcPr>
          <w:p>
            <w:r>
              <w:t>10/10</w:t>
            </w:r>
          </w:p>
        </w:tc>
        <w:tc>
          <w:tcPr>
            <w:tcW w:type="dxa" w:w="1234"/>
          </w:tcPr>
          <w:p>
            <w:r>
              <w:t>1.420</w:t>
            </w:r>
          </w:p>
        </w:tc>
        <w:tc>
          <w:tcPr>
            <w:tcW w:type="dxa" w:w="1234"/>
          </w:tcPr>
          <w:p>
            <w:r>
              <w:t>0.0045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MOON</w:t>
            </w:r>
          </w:p>
        </w:tc>
        <w:tc>
          <w:tcPr>
            <w:tcW w:type="dxa" w:w="1234"/>
          </w:tcPr>
          <w:p>
            <w:r>
              <w:t>+0.0263</w:t>
            </w:r>
          </w:p>
        </w:tc>
        <w:tc>
          <w:tcPr>
            <w:tcW w:type="dxa" w:w="1234"/>
          </w:tcPr>
          <w:p>
            <w:r>
              <w:t>[+0.0046, +0.0480]</w:t>
            </w:r>
          </w:p>
        </w:tc>
        <w:tc>
          <w:tcPr>
            <w:tcW w:type="dxa" w:w="1234"/>
          </w:tcPr>
          <w:p>
            <w:r>
              <w:t>8/10</w:t>
            </w:r>
          </w:p>
        </w:tc>
        <w:tc>
          <w:tcPr>
            <w:tcW w:type="dxa" w:w="1234"/>
          </w:tcPr>
          <w:p>
            <w:r>
              <w:t>0.866</w:t>
            </w:r>
          </w:p>
        </w:tc>
        <w:tc>
          <w:tcPr>
            <w:tcW w:type="dxa" w:w="1234"/>
          </w:tcPr>
          <w:p>
            <w:r>
              <w:t>0.0458</w:t>
            </w:r>
          </w:p>
        </w:tc>
        <w:tc>
          <w:tcPr>
            <w:tcW w:type="dxa" w:w="1234"/>
          </w:tcPr>
          <w:p>
            <w:r>
              <w:t>pass，弱于 FedProx</w:t>
            </w:r>
          </w:p>
        </w:tc>
      </w:tr>
    </w:tbl>
    <w:p/>
    <w:p>
      <w:r>
        <w:t>MOON 辅助端点（仅参考，不参与 R1–R4）：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读法</w:t>
            </w:r>
          </w:p>
        </w:tc>
      </w:tr>
      <w:tr>
        <w:tc>
          <w:tcPr>
            <w:tcW w:type="dxa" w:w="2160"/>
          </w:tcPr>
          <w:p>
            <w:r>
              <w:t>AUROC</w:t>
            </w:r>
          </w:p>
        </w:tc>
        <w:tc>
          <w:tcPr>
            <w:tcW w:type="dxa" w:w="2160"/>
          </w:tcPr>
          <w:p>
            <w:r>
              <w:t>+0.00793</w:t>
            </w:r>
          </w:p>
        </w:tc>
        <w:tc>
          <w:tcPr>
            <w:tcW w:type="dxa" w:w="2160"/>
          </w:tcPr>
          <w:p>
            <w:r>
              <w:t>[+0.00209, +0.01377]</w:t>
            </w:r>
          </w:p>
        </w:tc>
        <w:tc>
          <w:tcPr>
            <w:tcW w:type="dxa" w:w="2160"/>
          </w:tcPr>
          <w:p>
            <w:r>
              <w:t>确认</w:t>
            </w:r>
          </w:p>
        </w:tc>
      </w:tr>
      <w:tr>
        <w:tc>
          <w:tcPr>
            <w:tcW w:type="dxa" w:w="2160"/>
          </w:tcPr>
          <w:p>
            <w:r>
              <w:t>Brier [0,2]</w:t>
            </w:r>
          </w:p>
        </w:tc>
        <w:tc>
          <w:tcPr>
            <w:tcW w:type="dxa" w:w="2160"/>
          </w:tcPr>
          <w:p>
            <w:r>
              <w:t>−0.01772</w:t>
            </w:r>
          </w:p>
        </w:tc>
        <w:tc>
          <w:tcPr>
            <w:tcW w:type="dxa" w:w="2160"/>
          </w:tcPr>
          <w:p>
            <w:r>
              <w:t>[−0.03804, +0.00260]</w:t>
            </w:r>
          </w:p>
        </w:tc>
        <w:tc>
          <w:tcPr>
            <w:tcW w:type="dxa" w:w="2160"/>
          </w:tcPr>
          <w:p>
            <w:r>
              <w:t>方向有利，未确认</w:t>
            </w:r>
          </w:p>
        </w:tc>
      </w:tr>
      <w:tr>
        <w:tc>
          <w:tcPr>
            <w:tcW w:type="dxa" w:w="2160"/>
          </w:tcPr>
          <w:p>
            <w:r>
              <w:t>ECE</w:t>
            </w:r>
          </w:p>
        </w:tc>
        <w:tc>
          <w:tcPr>
            <w:tcW w:type="dxa" w:w="2160"/>
          </w:tcPr>
          <w:p>
            <w:r>
              <w:t>+0.00089</w:t>
            </w:r>
          </w:p>
        </w:tc>
        <w:tc>
          <w:tcPr>
            <w:tcW w:type="dxa" w:w="2160"/>
          </w:tcPr>
          <w:p>
            <w:r>
              <w:t>跨零</w:t>
            </w:r>
          </w:p>
        </w:tc>
        <w:tc>
          <w:tcPr>
            <w:tcW w:type="dxa" w:w="2160"/>
          </w:tcPr>
          <w:p>
            <w:r>
              <w:t>未确认</w:t>
            </w:r>
          </w:p>
        </w:tc>
      </w:tr>
      <w:tr>
        <w:tc>
          <w:tcPr>
            <w:tcW w:type="dxa" w:w="2160"/>
          </w:tcPr>
          <w:p>
            <w:r>
              <w:t>worst-client QWK</w:t>
            </w:r>
          </w:p>
        </w:tc>
        <w:tc>
          <w:tcPr>
            <w:tcW w:type="dxa" w:w="2160"/>
          </w:tcPr>
          <w:p>
            <w:r>
              <w:t>+0.00384</w:t>
            </w:r>
          </w:p>
        </w:tc>
        <w:tc>
          <w:tcPr>
            <w:tcW w:type="dxa" w:w="2160"/>
          </w:tcPr>
          <w:p>
            <w:r>
              <w:t>跨零</w:t>
            </w:r>
          </w:p>
        </w:tc>
        <w:tc>
          <w:tcPr>
            <w:tcW w:type="dxa" w:w="2160"/>
          </w:tcPr>
          <w:p>
            <w:r>
              <w:t>未确认</w:t>
            </w:r>
          </w:p>
        </w:tc>
      </w:tr>
      <w:tr>
        <w:tc>
          <w:tcPr>
            <w:tcW w:type="dxa" w:w="2160"/>
          </w:tcPr>
          <w:p>
            <w:r>
              <w:t>内部 macro QWK</w:t>
            </w:r>
          </w:p>
        </w:tc>
        <w:tc>
          <w:tcPr>
            <w:tcW w:type="dxa" w:w="2160"/>
          </w:tcPr>
          <w:p>
            <w:r>
              <w:t>−0.00172</w:t>
            </w:r>
          </w:p>
        </w:tc>
        <w:tc>
          <w:tcPr>
            <w:tcW w:type="dxa" w:w="2160"/>
          </w:tcPr>
          <w:p>
            <w:r>
              <w:t>跨零</w:t>
            </w:r>
          </w:p>
        </w:tc>
        <w:tc>
          <w:tcPr>
            <w:tcW w:type="dxa" w:w="2160"/>
          </w:tcPr>
          <w:p>
            <w:r>
              <w:t>未确认</w:t>
            </w:r>
          </w:p>
        </w:tc>
      </w:tr>
    </w:tbl>
    <w:p/>
    <w:p>
      <w:r>
        <w:t>上传 ≈2.309 MB/client/round（与 FedOSP-R 持平）；MOON 算力约 3× FedOSP-R。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R1–R4 复算（不得用手算含糊过去）</w:t>
      </w:r>
    </w:p>
    <w:p>
      <w:r>
        <w:t>预注册定义（§4）：</w:t>
      </w:r>
    </w:p>
    <w:p>
      <w:r>
        <w:t>$$</w:t>
      </w:r>
    </w:p>
    <w:p>
      <w:r>
        <w:t>\mathrm{CI}_{95}=\bar d\pm 0.71536\,s,\qquad</w:t>
      </w:r>
    </w:p>
    <w:p>
      <w:r>
        <w:t>\mathrm{CI}_{\text{Holm}}=\bar d\pm 0.92760\,s</w:t>
      </w:r>
    </w:p>
    <w:p>
      <w:r>
        <w:t>$$</w:t>
      </w:r>
    </w:p>
    <w:p>
      <w:r>
        <w:t>（$t_{0.975,9}=2.2622$；$t_{1-0.05/6,9}=2.9333$，</w:t>
      </w:r>
      <w:r>
        <w:rPr>
          <w:b/>
        </w:rPr>
        <w:t>最严一步 α/3</w:t>
      </w:r>
      <w:r>
        <w:t>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</w:p>
        </w:tc>
        <w:tc>
          <w:tcPr>
            <w:tcW w:type="dxa" w:w="2880"/>
          </w:tcPr>
          <w:p>
            <w:r>
              <w:t>$\mathrm{CI}_{\text{Holm}}$ 下界 &gt; 0</w:t>
            </w:r>
          </w:p>
        </w:tc>
        <w:tc>
          <w:tcPr>
            <w:tcW w:type="dxa" w:w="2880"/>
          </w:tcPr>
          <w:p>
            <w:r>
              <w:t xml:space="preserve">支持 </w:t>
            </w:r>
            <w:r>
              <w:rPr>
                <w:b/>
              </w:rPr>
              <w:t>H2</w:t>
            </w:r>
            <w:r>
              <w:t>（类条件原型特异）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</w:p>
        </w:tc>
        <w:tc>
          <w:tcPr>
            <w:tcW w:type="dxa" w:w="2880"/>
          </w:tcPr>
          <w:p>
            <w:r>
              <w:t>$\mathrm{CI}_{95}$ 上界 &lt; +0.015</w:t>
            </w:r>
          </w:p>
        </w:tc>
        <w:tc>
          <w:tcPr>
            <w:tcW w:type="dxa" w:w="2880"/>
          </w:tcPr>
          <w:p>
            <w:r>
              <w:t xml:space="preserve">支持 </w:t>
            </w:r>
            <w:r>
              <w:rPr>
                <w:b/>
              </w:rPr>
              <w:t>H1</w:t>
            </w:r>
            <w:r>
              <w:t>（表示层正则已够）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R1、R2 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不可判定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R1、R2 同时满足</w:t>
            </w:r>
          </w:p>
        </w:tc>
        <w:tc>
          <w:tcPr>
            <w:tcW w:type="dxa" w:w="2880"/>
          </w:tcPr>
          <w:p>
            <w:r>
              <w:t>按 R3 处理并标注</w:t>
            </w:r>
          </w:p>
        </w:tc>
      </w:tr>
    </w:tbl>
    <w:p/>
    <w:p>
      <w:pPr>
        <w:pStyle w:val="Heading3"/>
      </w:pPr>
      <w:r>
        <w:t>2.1 从已报 CI 反推 $s$</w:t>
      </w:r>
    </w:p>
    <w:p>
      <w:r>
        <w:t>$$</w:t>
      </w:r>
    </w:p>
    <w:p>
      <w:r>
        <w:t>\bar d = 0.0263,\quad</w:t>
      </w:r>
    </w:p>
    <w:p>
      <w:r>
        <w:t>\text{半宽}=(0.0480-0.0046)/2=0.0217,\quad</w:t>
      </w:r>
    </w:p>
    <w:p>
      <w:r>
        <w:t>s=0.0217/0.71536=\mathbf{0.030335}</w:t>
      </w:r>
    </w:p>
    <w:p>
      <w:r>
        <w:t>$$</w:t>
      </w:r>
    </w:p>
    <w:p>
      <w:r>
        <w:t>$s\in[0.010,0.040]$ → 预注册 §5 的 SD 闸门通过，可以按 §4 下结论。</w:t>
      </w:r>
    </w:p>
    <w:p>
      <w:pPr>
        <w:pStyle w:val="Heading3"/>
      </w:pPr>
      <w:r>
        <w:t>2.2 Holm 校正 CI（α/3，预注册字面）</w:t>
      </w:r>
    </w:p>
    <w:p>
      <w:r>
        <w:t>$$</w:t>
      </w:r>
    </w:p>
    <w:p>
      <w:r>
        <w:t>\text{Holm 半宽}=0.92760\times 0.030335=0.028138</w:t>
      </w:r>
    </w:p>
    <w:p>
      <w:r>
        <w:t>$$</w:t>
      </w:r>
    </w:p>
    <w:p>
      <w:r>
        <w:t>$$</w:t>
      </w:r>
    </w:p>
    <w:p>
      <w:r>
        <w:t>\mathrm{CI}_{\text{Holm}}=[0.0263-0.028138,\ 0.0263+0.028138]</w:t>
      </w:r>
    </w:p>
    <w:p>
      <w:r>
        <w:t>=\mathbf{[-0.001838,\ +0.054438]}</w:t>
      </w:r>
    </w:p>
    <w:p>
      <w:r>
        <w:t>$$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数值检验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触发？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</w:p>
        </w:tc>
        <w:tc>
          <w:tcPr>
            <w:tcW w:type="dxa" w:w="2880"/>
          </w:tcPr>
          <w:p>
            <w:r>
              <w:t xml:space="preserve">Holm 下界 = </w:t>
            </w:r>
            <w:r>
              <w:rPr>
                <w:b/>
              </w:rPr>
              <w:t>−0.0018</w:t>
            </w:r>
            <w:r>
              <w:t xml:space="preserve"> ≯ 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</w:p>
        </w:tc>
        <w:tc>
          <w:tcPr>
            <w:tcW w:type="dxa" w:w="2880"/>
          </w:tcPr>
          <w:p>
            <w:r>
              <w:t xml:space="preserve">未校正上界 = </w:t>
            </w:r>
            <w:r>
              <w:rPr>
                <w:b/>
              </w:rPr>
              <w:t>+0.0480</w:t>
            </w:r>
            <w:r>
              <w:t xml:space="preserve"> ≮ 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两者都不满足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否</w:t>
            </w:r>
          </w:p>
        </w:tc>
      </w:tr>
    </w:tbl>
    <w:p/>
    <w:p>
      <w:pPr>
        <w:pStyle w:val="Heading3"/>
      </w:pPr>
      <w:r>
        <w:t>2.3 为什么 Holm p=0.0458 不能替代 R1</w:t>
      </w:r>
    </w:p>
    <w:p>
      <w:r>
        <w:t>独立复算 raw p（配对 t，df=9）：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$s$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$t$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raw 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逐步 adj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t>4.493</w:t>
            </w:r>
          </w:p>
        </w:tc>
        <w:tc>
          <w:tcPr>
            <w:tcW w:type="dxa" w:w="1728"/>
          </w:tcPr>
          <w:p>
            <w:r>
              <w:t>0.00150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0.0045</w:t>
            </w:r>
            <w:r>
              <w:t>（×3）</w:t>
            </w:r>
          </w:p>
        </w:tc>
      </w:tr>
      <w:tr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t>2.742</w:t>
            </w:r>
          </w:p>
        </w:tc>
        <w:tc>
          <w:tcPr>
            <w:tcW w:type="dxa" w:w="1728"/>
          </w:tcPr>
          <w:p>
            <w:r>
              <w:t>0.02278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0.0456</w:t>
            </w:r>
            <w:r>
              <w:t>（×2）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  <w:tc>
          <w:tcPr>
            <w:tcW w:type="dxa" w:w="1728"/>
          </w:tcPr>
          <w:p>
            <w:r>
              <w:t>0.925</w:t>
            </w:r>
          </w:p>
        </w:tc>
        <w:tc>
          <w:tcPr>
            <w:tcW w:type="dxa" w:w="1728"/>
          </w:tcPr>
          <w:p>
            <w:r>
              <w:t>0.925</w:t>
            </w:r>
          </w:p>
        </w:tc>
      </w:tr>
    </w:tbl>
    <w:p/>
    <w:p>
      <w:r>
        <w:t xml:space="preserve">Holm </w:t>
      </w:r>
      <w:r>
        <w:rPr>
          <w:b/>
        </w:rPr>
        <w:t>逐步</w:t>
      </w:r>
      <w:r>
        <w:t>在第二步用 α/2；若用逐步临界值 $t_{1-0.05/4,9}=2.685$，</w:t>
      </w:r>
    </w:p>
    <w:p>
      <w:r>
        <w:t xml:space="preserve">对应 CI 下界 ≈ +0.0005 &gt; 0。但预注册 R1 </w:t>
      </w:r>
      <w:r>
        <w:rPr>
          <w:b/>
        </w:rPr>
        <w:t>写死的是最严一步的</w:t>
      </w:r>
    </w:p>
    <w:p>
      <w:r>
        <w:t>$\mathrm{CI}_{\text{Holm}}=\bar d\pm 0.92760\,s$，不是逐步 CI，也不是 Holm p。</w:t>
      </w:r>
    </w:p>
    <w:p>
      <w:r>
        <w:rPr>
          <w:b/>
        </w:rPr>
        <w:t>结论：协作方"pass"（Holm p &lt; 0.05）成立；预注册 R1（H2）不成立。两者必须分开写。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机制阶梯（FedAvg 尺度，推得点估计）</w:t>
      </w:r>
    </w:p>
    <w:p>
      <w:r>
        <w:t>同一批 FedOSP-R run，点估计可减（</w:t>
      </w:r>
      <w:r>
        <w:rPr>
          <w:b/>
        </w:rPr>
        <w:t>无各自配对 CI，不得写成精确零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推得比较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点估计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占总量 +0.0290</w:t>
            </w:r>
          </w:p>
        </w:tc>
      </w:tr>
      <w:tr>
        <w:tc>
          <w:tcPr>
            <w:tcW w:type="dxa" w:w="2160"/>
          </w:tcPr>
          <w:p>
            <w:r>
              <w:t>FedProto − FedAvg</w:t>
            </w:r>
          </w:p>
        </w:tc>
        <w:tc>
          <w:tcPr>
            <w:tcW w:type="dxa" w:w="2160"/>
          </w:tcPr>
          <w:p>
            <w:r>
              <w:t>0.0290 − 0.00045</w:t>
            </w:r>
          </w:p>
        </w:tc>
        <w:tc>
          <w:tcPr>
            <w:tcW w:type="dxa" w:w="2160"/>
          </w:tcPr>
          <w:p>
            <w:r>
              <w:t xml:space="preserve">≈ </w:t>
            </w:r>
            <w:r>
              <w:rPr>
                <w:b/>
              </w:rPr>
              <w:t>+0.02855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98.4%</w:t>
            </w:r>
          </w:p>
        </w:tc>
      </w:tr>
      <w:tr>
        <w:tc>
          <w:tcPr>
            <w:tcW w:type="dxa" w:w="2160"/>
          </w:tcPr>
          <w:p>
            <w:r>
              <w:t>FedProx − FedAvg</w:t>
            </w:r>
          </w:p>
        </w:tc>
        <w:tc>
          <w:tcPr>
            <w:tcW w:type="dxa" w:w="2160"/>
          </w:tcPr>
          <w:p>
            <w:r>
              <w:t>0.0290 − 0.0287</w:t>
            </w:r>
          </w:p>
        </w:tc>
        <w:tc>
          <w:tcPr>
            <w:tcW w:type="dxa" w:w="2160"/>
          </w:tcPr>
          <w:p>
            <w:r>
              <w:t xml:space="preserve">≈ </w:t>
            </w:r>
            <w:r>
              <w:rPr>
                <w:b/>
              </w:rPr>
              <w:t>+0.00030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1.0%</w:t>
            </w:r>
          </w:p>
        </w:tc>
      </w:tr>
      <w:tr>
        <w:tc>
          <w:tcPr>
            <w:tcW w:type="dxa" w:w="2160"/>
          </w:tcPr>
          <w:p>
            <w:r>
              <w:t>MOON − FedAvg</w:t>
            </w:r>
          </w:p>
        </w:tc>
        <w:tc>
          <w:tcPr>
            <w:tcW w:type="dxa" w:w="2160"/>
          </w:tcPr>
          <w:p>
            <w:r>
              <w:t>0.0290 − 0.0263</w:t>
            </w:r>
          </w:p>
        </w:tc>
        <w:tc>
          <w:tcPr>
            <w:tcW w:type="dxa" w:w="2160"/>
          </w:tcPr>
          <w:p>
            <w:r>
              <w:t xml:space="preserve">≈ </w:t>
            </w:r>
            <w:r>
              <w:rPr>
                <w:b/>
              </w:rPr>
              <w:t>+0.00270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9.3%</w:t>
            </w:r>
          </w:p>
        </w:tc>
      </w:tr>
    </w:tbl>
    <w:p/>
    <w:p>
      <w:r>
        <w:t>读法：参数层与表示层在点估计上都几乎拿不到这份收益；只有类条件原型拿到。</w:t>
      </w:r>
    </w:p>
    <w:p>
      <w:r>
        <w:t>这</w:t>
      </w:r>
      <w:r>
        <w:rPr>
          <w:b/>
        </w:rPr>
        <w:t>描述上</w:t>
      </w:r>
      <w:r>
        <w:t xml:space="preserve">偏向 H2，但正式裁决是 </w:t>
      </w:r>
      <w:r>
        <w:rPr>
          <w:b/>
        </w:rPr>
        <w:t>R3</w:t>
      </w:r>
      <w:r>
        <w:t>——预注册明确禁止在不可判定区</w:t>
      </w:r>
    </w:p>
    <w:p>
      <w:r>
        <w:t>用点估计偏向声称"倾向支持 H×"。</w:t>
      </w:r>
    </w:p>
    <w:p>
      <w:r>
        <w:t>MOON 捕获份额（补充报告，不改判定）：</w:t>
      </w:r>
    </w:p>
    <w:p>
      <w:r>
        <w:t>$$</w:t>
      </w:r>
    </w:p>
    <w:p>
      <w:r>
        <w:t>(0.0290-\Delta)/0.0290</w:t>
      </w:r>
    </w:p>
    <w:p>
      <w:r>
        <w:t>$$</w:t>
      </w:r>
    </w:p>
    <w:p>
      <w:r>
        <w:t xml:space="preserve">点估计 ≈ </w:t>
      </w:r>
      <w:r>
        <w:rPr>
          <w:b/>
        </w:rPr>
        <w:t>9.3%</w:t>
      </w:r>
      <w:r>
        <w:t xml:space="preserve">；由未校正 CI 映射得份额区间约 </w:t>
      </w:r>
      <w:r>
        <w:rPr>
          <w:b/>
        </w:rPr>
        <w:t>[−65%, +84%]</w:t>
      </w:r>
      <w:r>
        <w:t>——</w:t>
      </w:r>
    </w:p>
    <w:p>
      <w:r>
        <w:t>宽到什么都说明不了，与预注册 §4 的事先警告一致。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硬限制（写进论文 Limitations，一条都不能省）</w:t>
      </w:r>
    </w:p>
    <w:p>
      <w:r>
        <w:t xml:space="preserve">1. </w:t>
      </w:r>
      <w:r>
        <w:rPr>
          <w:b/>
        </w:rPr>
        <w:t>年份–机制共线</w:t>
      </w:r>
      <w:r>
        <w:t>未拆开（2018 / 2021 / 2022）；R3 也不解除。</w:t>
      </w:r>
    </w:p>
    <w:p>
      <w:r>
        <w:t xml:space="preserve">2. </w:t>
      </w:r>
      <w:r>
        <w:rPr>
          <w:b/>
        </w:rPr>
        <w:t>FedProto 杀死方法创新主张</w:t>
      </w:r>
      <w:r>
        <w:t>（+0.00045，CI 跨零）。</w:t>
      </w:r>
    </w:p>
    <w:p>
      <w:r>
        <w:t>3. 阳性对照</w:t>
      </w:r>
      <w:r>
        <w:rPr>
          <w:b/>
        </w:rPr>
        <w:t>共用 FedOSP-R 臂</w:t>
      </w:r>
      <w:r>
        <w:t>；FedProx≈MOON≈FedAvg（点估计）⇒ Corr 可能很高。</w:t>
      </w:r>
    </w:p>
    <w:p>
      <w:r>
        <w:t xml:space="preserve">4. FedOSP-R 配置有早期 Messidor </w:t>
      </w:r>
      <w:r>
        <w:rPr>
          <w:b/>
        </w:rPr>
        <w:t>组件筛选</w:t>
      </w:r>
      <w:r>
        <w:t>；seed 3–12 是独立训练种子，</w:t>
      </w:r>
    </w:p>
    <w:p>
      <w:r>
        <w:t xml:space="preserve">   </w:t>
      </w:r>
      <w:r>
        <w:rPr>
          <w:b/>
        </w:rPr>
        <w:t>不是</w:t>
      </w:r>
      <w:r>
        <w:t>新的未见中心。</w:t>
      </w:r>
    </w:p>
    <w:p>
      <w:r>
        <w:t xml:space="preserve">5. </w:t>
      </w:r>
      <w:r>
        <w:rPr>
          <w:b/>
        </w:rPr>
        <w:t>无病人级 CI</w:t>
      </w:r>
      <w:r>
        <w:t>（Messidor-2 配对表待获取）。</w:t>
      </w:r>
    </w:p>
    <w:p>
      <w:r>
        <w:t xml:space="preserve">6. FedProx−FedAvg / MOON−FedAvg </w:t>
      </w:r>
      <w:r>
        <w:rPr>
          <w:b/>
        </w:rPr>
        <w:t>尚无配对 CI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修订后的一句话主张</w:t>
      </w:r>
    </w:p>
    <w:p>
      <w:pPr>
        <w:ind w:left="360"/>
      </w:pPr>
      <w:r>
        <w:rPr>
          <w:i/>
          <w:color w:val="555555"/>
        </w:rPr>
        <w:t>在真实五中心糖网分级联邦设置下，+0.029 的配置级增益几乎全部可被 FedProto</w:t>
      </w:r>
    </w:p>
    <w:p>
      <w:pPr>
        <w:ind w:left="360"/>
      </w:pPr>
      <w:r>
        <w:rPr>
          <w:i/>
          <w:color w:val="555555"/>
        </w:rPr>
        <w:t>（类原型）在点估计上解释；FedProx（参数层）与 MOON（表示层）相对 FedAvg</w:t>
      </w:r>
    </w:p>
    <w:p>
      <w:pPr>
        <w:ind w:left="360"/>
      </w:pPr>
      <w:r>
        <w:rPr>
          <w:i/>
          <w:color w:val="555555"/>
        </w:rPr>
        <w:t>几乎无增益。MOON 的 H1/H2 按预注册落入 R3（不可判定）。</w:t>
      </w:r>
    </w:p>
    <w:p>
      <w:pPr>
        <w:ind w:left="360"/>
      </w:pPr>
      <w:r>
        <w:rPr>
          <w:i/>
          <w:color w:val="555555"/>
        </w:rPr>
        <w:t>我们自己的组件创新为零。可发表资产是机制阶梯（带限制）+ 噪声底线 + 精确零。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三个问题的短答</w:t>
      </w:r>
    </w:p>
    <w:p>
      <w:pPr>
        <w:pStyle w:val="Heading3"/>
      </w:pPr>
      <w:r>
        <w:t>6.1 是否现有方法能拿到收益？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答案</w:t>
            </w:r>
          </w:p>
        </w:tc>
      </w:tr>
      <w:tr>
        <w:tc>
          <w:tcPr>
            <w:tcW w:type="dxa" w:w="4320"/>
          </w:tcPr>
          <w:p>
            <w:r>
              <w:t>相对 FedAvg 谁拿到增益（推得）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只有 FedProto</w:t>
            </w:r>
            <w:r>
              <w:t>（≈+0.029）；FedProx≈0，MOON≈0</w:t>
            </w:r>
          </w:p>
        </w:tc>
      </w:tr>
      <w:tr>
        <w:tc>
          <w:tcPr>
            <w:tcW w:type="dxa" w:w="4320"/>
          </w:tcPr>
          <w:p>
            <w:r>
              <w:t>FedOSP-R 赢谁</w:t>
            </w:r>
          </w:p>
        </w:tc>
        <w:tc>
          <w:tcPr>
            <w:tcW w:type="dxa" w:w="4320"/>
          </w:tcPr>
          <w:p>
            <w:r>
              <w:t>赢 FedAvg / FedProx（明确）；赢 MOON（未校正 CI + Holm p，但 R1 不过）；</w:t>
            </w:r>
            <w:r>
              <w:rPr>
                <w:b/>
              </w:rPr>
              <w:t>不赢 FedProto</w:t>
            </w:r>
          </w:p>
        </w:tc>
      </w:tr>
      <w:tr>
        <w:tc>
          <w:tcPr>
            <w:tcW w:type="dxa" w:w="4320"/>
          </w:tcPr>
          <w:p>
            <w:r>
              <w:t>"我们的方法有收益"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仅配置级</w:t>
            </w:r>
            <w:r>
              <w:t>（相对 FedAvg）；</w:t>
            </w:r>
            <w:r>
              <w:rPr>
                <w:b/>
              </w:rPr>
              <w:t>非创新级</w:t>
            </w:r>
            <w:r>
              <w:t>（相对同族 FedProto 为零）</w:t>
            </w:r>
          </w:p>
        </w:tc>
      </w:tr>
    </w:tbl>
    <w:p/>
    <w:p>
      <w:pPr>
        <w:pStyle w:val="Heading3"/>
      </w:pPr>
      <w:r>
        <w:t>6.2 哪些有效 / 失效</w:t>
      </w:r>
    </w:p>
    <w:p>
      <w:r>
        <w:t>见用户答复正文表；核心：</w:t>
      </w:r>
      <w:r>
        <w:rPr>
          <w:b/>
        </w:rPr>
        <w:t>配置级增益成立；方法创新不成立；H2 点估计偏向但 R3 未证实。</w:t>
      </w:r>
    </w:p>
    <w:p>
      <w:pPr>
        <w:pStyle w:val="Heading3"/>
      </w:pPr>
      <w:r>
        <w:t>6.3 方法论文还能成立吗？</w:t>
      </w:r>
    </w:p>
    <w:p>
      <w:r>
        <w:rPr>
          <w:b/>
        </w:rPr>
        <w:t>不能。</w:t>
      </w:r>
      <w:r>
        <w:t xml:space="preserve"> 能撑住的是基准 / 阴性结果 / 机制定位（带 R3 与年份共线限制）论文。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*复算：</w:t>
      </w:r>
      <w:r>
        <w:rPr>
          <w:rFonts w:ascii="Menlo" w:hAnsi="Menlo"/>
          <w:color w:val="C7254E"/>
        </w:rPr>
        <w:t>scipy.stats.t</w:t>
      </w:r>
      <w:r>
        <w:t>，n=10，df=9。关联台账 §1.1、论文骨架 §0 / §4.0、预注册 §4。*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