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reinforcement-learning"/>
    <w:p>
      <w:pPr>
        <w:pStyle w:val="Heading1"/>
      </w:pPr>
      <w:r>
        <w:t xml:space="preserve">43008: Reinforcement Learning</w:t>
      </w:r>
    </w:p>
    <w:bookmarkStart w:id="9" w:name="X31b4d8a294c9002bacba8e41bdf9951a791e7d7"/>
    <w:p>
      <w:pPr>
        <w:pStyle w:val="Heading2"/>
      </w:pPr>
      <w:r>
        <w:t xml:space="preserve">Assignment 3, Part-C — Initial Experimental Results</w:t>
      </w:r>
    </w:p>
    <w:p>
      <w:pPr>
        <w:pStyle w:val="FirstParagraph"/>
      </w:pPr>
      <w:r>
        <w:rPr>
          <w:b/>
          <w:bCs/>
        </w:rPr>
        <w:t xml:space="preserve">Project Title and number (Refer to Dashboard):</w:t>
      </w:r>
      <w:r>
        <w:t xml:space="preserve"> </w:t>
      </w:r>
      <w:r>
        <w:t xml:space="preserve">ShelfSort-RL: Reward Shaping for Robotic Category Sorting</w:t>
      </w:r>
    </w:p>
    <w:p>
      <w:pPr>
        <w:pStyle w:val="BodyText"/>
      </w:pPr>
      <w:r>
        <w:rPr>
          <w:b/>
          <w:bCs/>
        </w:rPr>
        <w:t xml:space="preserve">Team Name:</w:t>
      </w:r>
      <w:r>
        <w:t xml:space="preserve"> </w:t>
      </w:r>
      <w:r>
        <w:t xml:space="preserve">dotRAR</w:t>
      </w:r>
    </w:p>
    <w:p>
      <w:pPr>
        <w:pStyle w:val="BodyText"/>
      </w:pPr>
      <w:r>
        <w:rPr>
          <w:b/>
          <w:bCs/>
        </w:rPr>
        <w:t xml:space="preserve">Team Members:</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212"/>
        <w:gridCol w:w="3212"/>
        <w:gridCol w:w="3212"/>
      </w:tblGrid>
      <w:tr>
        <w:trPr>
          <w:tblHeader w:val="on"/>
        </w:trPr>
        <w:tc>
          <w:tcPr>
            <w:tcW w:w="3212" w:type="dxa"/>
          </w:tcPr>
          <w:p>
            <w:pPr>
              <w:pStyle w:val="Compact"/>
            </w:pPr>
            <w:r>
              <w:rPr>
                <w:b/>
                <w:sz w:val="18"/>
              </w:rPr>
              <w:t xml:space="preserve">Student Name</w:t>
            </w:r>
          </w:p>
        </w:tc>
        <w:tc>
          <w:tcPr>
            <w:tcW w:w="3212" w:type="dxa"/>
          </w:tcPr>
          <w:p>
            <w:pPr>
              <w:pStyle w:val="Compact"/>
            </w:pPr>
            <w:r>
              <w:rPr>
                <w:b/>
                <w:sz w:val="18"/>
              </w:rPr>
              <w:t xml:space="preserve">Student ID</w:t>
            </w:r>
          </w:p>
        </w:tc>
        <w:tc>
          <w:tcPr>
            <w:tcW w:w="3212" w:type="dxa"/>
          </w:tcPr>
          <w:p>
            <w:pPr>
              <w:pStyle w:val="Compact"/>
            </w:pPr>
            <w:r>
              <w:rPr>
                <w:b/>
                <w:sz w:val="18"/>
              </w:rPr>
              <w:t xml:space="preserve">Email ID</w:t>
            </w:r>
          </w:p>
        </w:tc>
      </w:tr>
      <w:tr>
        <w:tc>
          <w:tcPr>
            <w:tcW w:w="3212" w:type="dxa"/>
          </w:tcPr>
          <w:p>
            <w:pPr>
              <w:pStyle w:val="Compact"/>
            </w:pPr>
            <w:r>
              <w:rPr>
                <w:sz w:val="18"/>
              </w:rPr>
              <w:t xml:space="preserve">Van An Hoang</w:t>
            </w:r>
          </w:p>
        </w:tc>
        <w:tc>
          <w:tcPr>
            <w:tcW w:w="3212" w:type="dxa"/>
          </w:tcPr>
          <w:p>
            <w:pPr>
              <w:pStyle w:val="Compact"/>
            </w:pPr>
            <w:r>
              <w:rPr>
                <w:sz w:val="18"/>
              </w:rPr>
              <w:t xml:space="preserve">26046146</w:t>
            </w:r>
          </w:p>
        </w:tc>
        <w:tc>
          <w:tcPr>
            <w:tcW w:w="3212" w:type="dxa"/>
          </w:tcPr>
          <w:p>
            <w:pPr>
              <w:pStyle w:val="Compact"/>
            </w:pPr>
            <w:r>
              <w:rPr>
                <w:sz w:val="18"/>
              </w:rPr>
              <w:t xml:space="preserve">vanan.hoang@student.uts.edu.au</w:t>
            </w:r>
          </w:p>
        </w:tc>
      </w:tr>
      <w:tr>
        <w:tc>
          <w:tcPr>
            <w:tcW w:w="3212" w:type="dxa"/>
          </w:tcPr>
          <w:p>
            <w:pPr>
              <w:pStyle w:val="Compact"/>
            </w:pPr>
            <w:r>
              <w:rPr>
                <w:sz w:val="18"/>
              </w:rPr>
              <w:t xml:space="preserve">Tinnapat Plangsri</w:t>
            </w:r>
          </w:p>
        </w:tc>
        <w:tc>
          <w:tcPr>
            <w:tcW w:w="3212" w:type="dxa"/>
          </w:tcPr>
          <w:p>
            <w:pPr>
              <w:pStyle w:val="Compact"/>
            </w:pPr>
            <w:r>
              <w:rPr>
                <w:sz w:val="18"/>
              </w:rPr>
              <w:t xml:space="preserve">25746381</w:t>
            </w:r>
          </w:p>
        </w:tc>
        <w:tc>
          <w:tcPr>
            <w:tcW w:w="3212" w:type="dxa"/>
          </w:tcPr>
          <w:p>
            <w:pPr>
              <w:pStyle w:val="Compact"/>
            </w:pPr>
            <w:r>
              <w:rPr>
                <w:sz w:val="18"/>
              </w:rPr>
              <w:t xml:space="preserve">tinnapat.plangsri@student.uts.edu.au</w:t>
            </w:r>
          </w:p>
        </w:tc>
      </w:tr>
      <w:tr>
        <w:tc>
          <w:tcPr>
            <w:tcW w:w="3212" w:type="dxa"/>
          </w:tcPr>
          <w:p>
            <w:pPr>
              <w:pStyle w:val="Compact"/>
            </w:pPr>
            <w:r>
              <w:rPr>
                <w:sz w:val="18"/>
              </w:rPr>
              <w:t xml:space="preserve">Warit Srichairattanakul</w:t>
            </w:r>
          </w:p>
        </w:tc>
        <w:tc>
          <w:tcPr>
            <w:tcW w:w="3212" w:type="dxa"/>
          </w:tcPr>
          <w:p>
            <w:pPr>
              <w:pStyle w:val="Compact"/>
            </w:pPr>
            <w:r>
              <w:rPr>
                <w:sz w:val="18"/>
              </w:rPr>
              <w:t xml:space="preserve">25745973</w:t>
            </w:r>
          </w:p>
        </w:tc>
        <w:tc>
          <w:tcPr>
            <w:tcW w:w="3212" w:type="dxa"/>
          </w:tcPr>
          <w:p>
            <w:pPr>
              <w:pStyle w:val="Compact"/>
            </w:pPr>
            <w:r>
              <w:rPr>
                <w:sz w:val="18"/>
              </w:rPr>
              <w:t xml:space="preserve">warit.srichairattanakul@student.uts.edu.au</w:t>
            </w:r>
          </w:p>
        </w:tc>
      </w:tr>
    </w:tbl>
    <w:p>
      <w:r>
        <w:pict>
          <v:rect style="width:0;height:1.5pt" o:hralign="center" o:hrstd="t" o:hr="t"/>
        </w:pict>
      </w:r>
    </w:p>
    <w:bookmarkEnd w:id="9"/>
    <w:bookmarkStart w:id="10" w:name="algorithmsmethods-chosen"/>
    <w:p>
      <w:pPr>
        <w:pStyle w:val="Heading2"/>
      </w:pPr>
      <w:r>
        <w:t xml:space="preserve">Algorithms/Methods Chosen</w:t>
      </w:r>
    </w:p>
    <w:p>
      <w:pPr>
        <w:pStyle w:val="FirstParagraph"/>
      </w:pPr>
      <w:r>
        <w:rPr>
          <w:b/>
          <w:bCs/>
        </w:rPr>
        <w:t xml:space="preserve">Type:</w:t>
      </w:r>
      <w:r>
        <w:t xml:space="preserve"> </w:t>
      </w:r>
      <w:r>
        <w:t xml:space="preserve">model-free deep reinforcement learning for continuous control. We compare one on-policy and one off-policy actor-critic method, both from Stable-Baselines3.</w:t>
      </w:r>
    </w:p>
    <w:p>
      <w:pPr>
        <w:pStyle w:val="Compact"/>
        <w:numPr>
          <w:ilvl w:val="0"/>
          <w:numId w:val="1001"/>
        </w:numPr>
      </w:pPr>
      <w:r>
        <w:rPr>
          <w:b/>
          <w:bCs/>
        </w:rPr>
        <w:t xml:space="preserve">Proximal Policy Optimisation (PPO)</w:t>
      </w:r>
      <w:r>
        <w:t xml:space="preserve"> </w:t>
      </w:r>
      <w:r>
        <w:t xml:space="preserve">(Schulman et al., 2017) is an on-policy actor-critic method. It maximises a clipped surrogate objective with GAE advantages, which keeps each update close to the previous policy and makes training stable without heavy tuning. It is a standard baseline for robot manipulation.</w:t>
      </w:r>
    </w:p>
    <w:p>
      <w:pPr>
        <w:pStyle w:val="Compact"/>
        <w:numPr>
          <w:ilvl w:val="0"/>
          <w:numId w:val="1001"/>
        </w:numPr>
      </w:pPr>
      <w:r>
        <w:rPr>
          <w:b/>
          <w:bCs/>
        </w:rPr>
        <w:t xml:space="preserve">Soft Actor-Critic (SAC)</w:t>
      </w:r>
      <w:r>
        <w:t xml:space="preserve"> </w:t>
      </w:r>
      <w:r>
        <w:t xml:space="preserve">(Haarnoja et al., 2018) is an off-policy actor-critic method. It maximises reward plus the entropy of the policy, with the entropy weight tuned automatically, and learns from a replay buffer of past experience, so each transition can be reused many times.</w:t>
      </w:r>
    </w:p>
    <w:p>
      <w:pPr>
        <w:pStyle w:val="FirstParagraph"/>
      </w:pPr>
      <w:r>
        <w:t xml:space="preserve">The policy controls a simulated SO-ARM101 arm in MuJoCo. This report compares the two algorithms on the</w:t>
      </w:r>
      <w:r>
        <w:t xml:space="preserve"> </w:t>
      </w:r>
      <w:r>
        <w:rPr>
          <w:b/>
          <w:bCs/>
        </w:rPr>
        <w:t xml:space="preserve">dense (shaped) reward</w:t>
      </w:r>
      <w:r>
        <w:t xml:space="preserve">: the environment, observations, reward, success rule and training budget (3M environment steps) are identical for both. The reward is:</w:t>
      </w:r>
    </w:p>
    <w:p>
      <w:pPr>
        <w:pStyle w:val="Compact"/>
        <w:numPr>
          <w:ilvl w:val="0"/>
          <w:numId w:val="1002"/>
        </w:numPr>
      </w:pPr>
      <w:r>
        <w:rPr>
          <w:b/>
          <w:bCs/>
        </w:rPr>
        <w:t xml:space="preserve">Dense (shaped):</w:t>
      </w:r>
      <w:r>
        <w:t xml:space="preserve"> </w:t>
      </w:r>
      <w:r>
        <w:t xml:space="preserve">+1 when the block is correctly placed, plus shaping terms that reward progress in reaching, grasping, lifting, carrying and lowering the block, and a small step penalty. The terms are differences of distance or height (</w:t>
      </w:r>
      <m:oMath>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w:r>
        <w:t xml:space="preserve">), in the spirit of potential-based shaping (Ng et al., 1999).</w:t>
      </w:r>
    </w:p>
    <w:p>
      <w:pPr>
        <w:pStyle w:val="FirstParagraph"/>
      </w:pPr>
      <w:r>
        <w:t xml:space="preserve">To check feasibility, scripted pick-and-place controllers were run before training. Trained policies were replayed step by step to diagnose failures and reward hacking.</w:t>
      </w:r>
    </w:p>
    <w:bookmarkEnd w:id="10"/>
    <w:bookmarkStart w:id="11" w:name="experimental-settings"/>
    <w:p>
      <w:pPr>
        <w:pStyle w:val="Heading2"/>
      </w:pPr>
      <w:r>
        <w:t xml:space="preserve">Experimental Settings</w:t>
      </w:r>
    </w:p>
    <w:p>
      <w:pPr>
        <w:pStyle w:val="FirstParagraph"/>
      </w:pPr>
      <w:r>
        <w:rPr>
          <w:b/>
          <w:bCs/>
        </w:rPr>
        <w:t xml:space="preserve">Task:</w:t>
      </w:r>
      <w:r>
        <w:t xml:space="preserve"> </w:t>
      </w:r>
      <w:r>
        <w:t xml:space="preserve">pick a red, green or blue block (colour random each episode) from a fixed supply pad and place it on the shelf zone of the same colour. The zones are 0.11 m (red), 0.23 m (green) and 0.33 m (blue) from the pad. The arm pose and block start position are fixed.</w:t>
      </w:r>
    </w:p>
    <w:p>
      <w:pPr>
        <w:pStyle w:val="BodyText"/>
      </w:pPr>
      <w:r>
        <w:rPr>
          <w:b/>
          <w:bCs/>
        </w:rPr>
        <w:t xml:space="preserve">Table 1. Problem formulation, PPO and SAC settings</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4819"/>
        <w:gridCol w:w="4819"/>
      </w:tblGrid>
      <w:tr>
        <w:trPr>
          <w:tblHeader w:val="on"/>
        </w:trPr>
        <w:tc>
          <w:tcPr>
            <w:tcW w:w="4819" w:type="dxa"/>
          </w:tcPr>
          <w:p>
            <w:pPr>
              <w:pStyle w:val="Compact"/>
            </w:pPr>
            <w:r>
              <w:rPr>
                <w:b/>
                <w:sz w:val="18"/>
              </w:rPr>
              <w:t xml:space="preserve">Setting</w:t>
            </w:r>
          </w:p>
        </w:tc>
        <w:tc>
          <w:tcPr>
            <w:tcW w:w="4819" w:type="dxa"/>
          </w:tcPr>
          <w:p>
            <w:pPr>
              <w:pStyle w:val="Compact"/>
            </w:pPr>
            <w:r>
              <w:rPr>
                <w:b/>
                <w:sz w:val="18"/>
              </w:rPr>
              <w:t xml:space="preserve">Value</w:t>
            </w:r>
          </w:p>
        </w:tc>
      </w:tr>
      <w:tr>
        <w:tc>
          <w:tcPr>
            <w:tcW w:w="4819" w:type="dxa"/>
          </w:tcPr>
          <w:p>
            <w:pPr>
              <w:pStyle w:val="Compact"/>
            </w:pPr>
            <w:r>
              <w:rPr>
                <w:sz w:val="18"/>
              </w:rPr>
              <w:t xml:space="preserve">Observation (21-D)</w:t>
            </w:r>
          </w:p>
        </w:tc>
        <w:tc>
          <w:tcPr>
            <w:tcW w:w="4819" w:type="dxa"/>
          </w:tcPr>
          <w:p>
            <w:pPr>
              <w:pStyle w:val="Compact"/>
            </w:pPr>
            <w:r>
              <w:rPr>
                <w:sz w:val="18"/>
              </w:rPr>
              <w:t xml:space="preserve">Joint pos/vel (12), end-effector pos (3), block pos (3), target shelf pos (3)</w:t>
            </w:r>
          </w:p>
        </w:tc>
      </w:tr>
      <w:tr>
        <w:tc>
          <w:tcPr>
            <w:tcW w:w="4819" w:type="dxa"/>
          </w:tcPr>
          <w:p>
            <w:pPr>
              <w:pStyle w:val="Compact"/>
            </w:pPr>
            <w:r>
              <w:rPr>
                <w:sz w:val="18"/>
              </w:rPr>
              <w:t xml:space="preserve">Action (4-D, [−1, 1])</w:t>
            </w:r>
          </w:p>
        </w:tc>
        <w:tc>
          <w:tcPr>
            <w:tcW w:w="4819" w:type="dxa"/>
          </w:tcPr>
          <w:p>
            <w:pPr>
              <w:pStyle w:val="Compact"/>
            </w:pPr>
            <w:r>
              <w:rPr>
                <w:sz w:val="18"/>
              </w:rPr>
              <w:t xml:space="preserve">End-effector displacement (≤ 2 cm per step, converted to joint targets by IK) + gripper open/close</w:t>
            </w:r>
          </w:p>
        </w:tc>
      </w:tr>
      <w:tr>
        <w:tc>
          <w:tcPr>
            <w:tcW w:w="4819" w:type="dxa"/>
          </w:tcPr>
          <w:p>
            <w:pPr>
              <w:pStyle w:val="Compact"/>
            </w:pPr>
            <w:r>
              <w:rPr>
                <w:sz w:val="18"/>
              </w:rPr>
              <w:t xml:space="preserve">Episode</w:t>
            </w:r>
          </w:p>
        </w:tc>
        <w:tc>
          <w:tcPr>
            <w:tcW w:w="4819" w:type="dxa"/>
          </w:tcPr>
          <w:p>
            <w:pPr>
              <w:pStyle w:val="Compact"/>
            </w:pPr>
            <w:r>
              <w:rPr>
                <w:sz w:val="18"/>
              </w:rPr>
              <w:t xml:space="preserve">≤ 200 steps; ends on success</w:t>
            </w:r>
          </w:p>
        </w:tc>
      </w:tr>
      <w:tr>
        <w:tc>
          <w:tcPr>
            <w:tcW w:w="4819" w:type="dxa"/>
          </w:tcPr>
          <w:p>
            <w:pPr>
              <w:pStyle w:val="Compact"/>
            </w:pPr>
            <w:r>
              <w:rPr>
                <w:sz w:val="18"/>
              </w:rPr>
              <w:t xml:space="preserve">Success</w:t>
            </w:r>
          </w:p>
        </w:tc>
        <w:tc>
          <w:tcPr>
            <w:tcW w:w="4819" w:type="dxa"/>
          </w:tcPr>
          <w:p>
            <w:pPr>
              <w:pStyle w:val="Compact"/>
            </w:pPr>
            <w:r>
              <w:rPr>
                <w:sz w:val="18"/>
              </w:rPr>
              <w:t xml:space="preserve">Block within 3 cm of the zone, resting on the table, and released</w:t>
            </w:r>
          </w:p>
        </w:tc>
      </w:tr>
      <w:tr>
        <w:tc>
          <w:tcPr>
            <w:tcW w:w="4819" w:type="dxa"/>
          </w:tcPr>
          <w:p>
            <w:pPr>
              <w:pStyle w:val="Compact"/>
            </w:pPr>
            <w:r>
              <w:rPr>
                <w:sz w:val="18"/>
              </w:rPr>
              <w:t xml:space="preserve">PPO</w:t>
            </w:r>
          </w:p>
        </w:tc>
        <w:tc>
          <w:tcPr>
            <w:tcW w:w="4819" w:type="dxa"/>
          </w:tcPr>
          <w:p>
            <w:pPr>
              <w:pStyle w:val="Compact"/>
            </w:pPr>
            <w:r>
              <w:rPr>
                <w:sz w:val="18"/>
              </w:rPr>
              <w:t xml:space="preserve">MLP 64×64, learning rate</w:t>
            </w:r>
            <w:r>
              <w:rPr>
                <w:sz w:val="18"/>
              </w:rPr>
              <w:t xml:space="preserve"> </w:t>
            </w:r>
            <m:oMath>
              <m:r>
                <m:t>3</m:t>
              </m:r>
              <m:r>
                <m:rPr>
                  <m:sty m:val="p"/>
                </m:rPr>
                <m:t>×</m:t>
              </m:r>
              <m:sSup>
                <m:e>
                  <m:r>
                    <m:t>10</m:t>
                  </m:r>
                </m:e>
                <m:sup>
                  <m:r>
                    <m:rPr>
                      <m:sty m:val="p"/>
                    </m:rPr>
                    <m:t>−</m:t>
                  </m:r>
                  <m:r>
                    <m:t>4</m:t>
                  </m:r>
                </m:sup>
              </m:sSup>
            </m:oMath>
            <w:r>
              <w:rPr>
                <w:sz w:val="18"/>
              </w:rPr>
              <w:t xml:space="preserve">, rollout 2048 steps, batch 64, 10 epochs,</w:t>
            </w:r>
            <w:r>
              <w:rPr>
                <w:sz w:val="18"/>
              </w:rPr>
              <w:t xml:space="preserve"> </w:t>
            </w:r>
            <m:oMath>
              <m:r>
                <m:t>γ</m:t>
              </m:r>
              <m:r>
                <m:rPr>
                  <m:sty m:val="p"/>
                </m:rPr>
                <m:t>=</m:t>
              </m:r>
              <m:r>
                <m:t>0.99</m:t>
              </m:r>
            </m:oMath>
            <w:r>
              <w:rPr>
                <w:sz w:val="18"/>
              </w:rPr>
              <w:t xml:space="preserve">,</w:t>
            </w:r>
            <w:r>
              <w:rPr>
                <w:sz w:val="18"/>
              </w:rPr>
              <w:t xml:space="preserve"> </w:t>
            </w:r>
            <m:oMath>
              <m:r>
                <m:t>λ</m:t>
              </m:r>
              <m:r>
                <m:rPr>
                  <m:sty m:val="p"/>
                </m:rPr>
                <m:t>=</m:t>
              </m:r>
              <m:r>
                <m:t>0.95</m:t>
              </m:r>
            </m:oMath>
            <w:r>
              <w:rPr>
                <w:sz w:val="18"/>
              </w:rPr>
              <w:t xml:space="preserve">, clip</w:t>
            </w:r>
            <w:r>
              <w:rPr>
                <w:sz w:val="18"/>
              </w:rPr>
              <w:t xml:space="preserve"> </w:t>
            </w:r>
            <m:oMath>
              <m:r>
                <m:t>ε</m:t>
              </m:r>
              <m:r>
                <m:rPr>
                  <m:sty m:val="p"/>
                </m:rPr>
                <m:t>=</m:t>
              </m:r>
              <m:r>
                <m:t>0.2</m:t>
              </m:r>
            </m:oMath>
            <w:r>
              <w:rPr>
                <w:sz w:val="18"/>
              </w:rPr>
              <w:t xml:space="preserve">, no entropy bonus</w:t>
            </w:r>
          </w:p>
        </w:tc>
      </w:tr>
      <w:tr>
        <w:tc>
          <w:tcPr>
            <w:tcW w:w="4819" w:type="dxa"/>
          </w:tcPr>
          <w:p>
            <w:pPr>
              <w:pStyle w:val="Compact"/>
            </w:pPr>
            <w:r>
              <w:rPr>
                <w:sz w:val="18"/>
              </w:rPr>
              <w:t xml:space="preserve">SAC</w:t>
            </w:r>
          </w:p>
        </w:tc>
        <w:tc>
          <w:tcPr>
            <w:tcW w:w="4819" w:type="dxa"/>
          </w:tcPr>
          <w:p>
            <w:pPr>
              <w:pStyle w:val="Compact"/>
            </w:pPr>
            <w:r>
              <w:rPr>
                <w:sz w:val="18"/>
              </w:rPr>
              <w:t xml:space="preserve">MLP 256×256, learning rate</w:t>
            </w:r>
            <w:r>
              <w:rPr>
                <w:sz w:val="18"/>
              </w:rPr>
              <w:t xml:space="preserve"> </w:t>
            </w:r>
            <m:oMath>
              <m:r>
                <m:t>3</m:t>
              </m:r>
              <m:r>
                <m:rPr>
                  <m:sty m:val="p"/>
                </m:rPr>
                <m:t>×</m:t>
              </m:r>
              <m:sSup>
                <m:e>
                  <m:r>
                    <m:t>10</m:t>
                  </m:r>
                </m:e>
                <m:sup>
                  <m:r>
                    <m:rPr>
                      <m:sty m:val="p"/>
                    </m:rPr>
                    <m:t>−</m:t>
                  </m:r>
                  <m:r>
                    <m:t>4</m:t>
                  </m:r>
                </m:sup>
              </m:sSup>
            </m:oMath>
            <w:r>
              <w:rPr>
                <w:sz w:val="18"/>
              </w:rPr>
              <w:t xml:space="preserve">, replay buffer</w:t>
            </w:r>
            <w:r>
              <w:rPr>
                <w:sz w:val="18"/>
              </w:rPr>
              <w:t xml:space="preserve"> </w:t>
            </w:r>
            <m:oMath>
              <m:sSup>
                <m:e>
                  <m:r>
                    <m:t>10</m:t>
                  </m:r>
                </m:e>
                <m:sup>
                  <m:r>
                    <m:t>6</m:t>
                  </m:r>
                </m:sup>
              </m:sSup>
            </m:oMath>
            <w:r>
              <w:rPr>
                <w:sz w:val="18"/>
              </w:rPr>
              <w:t xml:space="preserve">, batch 256,</w:t>
            </w:r>
            <w:r>
              <w:rPr>
                <w:sz w:val="18"/>
              </w:rPr>
              <w:t xml:space="preserve"> </w:t>
            </w:r>
            <m:oMath>
              <m:r>
                <m:t>τ</m:t>
              </m:r>
              <m:r>
                <m:rPr>
                  <m:sty m:val="p"/>
                </m:rPr>
                <m:t>=</m:t>
              </m:r>
              <m:r>
                <m:t>0.005</m:t>
              </m:r>
            </m:oMath>
            <w:r>
              <w:rPr>
                <w:sz w:val="18"/>
              </w:rPr>
              <w:t xml:space="preserve">,</w:t>
            </w:r>
            <w:r>
              <w:rPr>
                <w:sz w:val="18"/>
              </w:rPr>
              <w:t xml:space="preserve"> </w:t>
            </w:r>
            <m:oMath>
              <m:r>
                <m:t>γ</m:t>
              </m:r>
              <m:r>
                <m:rPr>
                  <m:sty m:val="p"/>
                </m:rPr>
                <m:t>=</m:t>
              </m:r>
              <m:r>
                <m:t>0.99</m:t>
              </m:r>
            </m:oMath>
            <w:r>
              <w:rPr>
                <w:sz w:val="18"/>
              </w:rPr>
              <w:t xml:space="preserve">, automatic entropy tuning, 1 gradient step per vectorised env step (≈ 0.75M updates in total)</w:t>
            </w:r>
          </w:p>
        </w:tc>
      </w:tr>
      <w:tr>
        <w:tc>
          <w:tcPr>
            <w:tcW w:w="4819" w:type="dxa"/>
          </w:tcPr>
          <w:p>
            <w:pPr>
              <w:pStyle w:val="Compact"/>
            </w:pPr>
            <w:r>
              <w:rPr>
                <w:sz w:val="18"/>
              </w:rPr>
              <w:t xml:space="preserve">Budget</w:t>
            </w:r>
          </w:p>
        </w:tc>
        <w:tc>
          <w:tcPr>
            <w:tcW w:w="4819" w:type="dxa"/>
          </w:tcPr>
          <w:p>
            <w:pPr>
              <w:pStyle w:val="Compact"/>
            </w:pPr>
            <w:r>
              <w:rPr>
                <w:sz w:val="18"/>
              </w:rPr>
              <w:t xml:space="preserve">3M steps per run, seed 0. PPO: 1 env (~92 min on a laptop CPU). SAC: 4 parallel envs (~91 min on a laptop CPU)</w:t>
            </w:r>
          </w:p>
        </w:tc>
      </w:tr>
    </w:tbl>
    <w:p>
      <w:pPr>
        <w:pStyle w:val="BodyText"/>
      </w:pPr>
      <w:r>
        <w:t xml:space="preserve">Both algorithms use the Stable-Baselines3 default hyperparameters; the only training-side difference we chose is SAC’s 4 parallel environments, which keep its wall-clock time close to PPO’s.</w:t>
      </w:r>
    </w:p>
    <w:p>
      <w:pPr>
        <w:pStyle w:val="BodyText"/>
      </w:pPr>
      <w:r>
        <w:rPr>
          <w:b/>
          <w:bCs/>
        </w:rPr>
        <w:t xml:space="preserve">Table 2. Dense reward function (per step)</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4819"/>
        <w:gridCol w:w="4819"/>
      </w:tblGrid>
      <w:tr>
        <w:trPr>
          <w:tblHeader w:val="on"/>
        </w:trPr>
        <w:tc>
          <w:tcPr>
            <w:tcW w:w="4819" w:type="dxa"/>
          </w:tcPr>
          <w:p>
            <w:pPr>
              <w:pStyle w:val="Compact"/>
            </w:pPr>
            <w:r>
              <w:rPr>
                <w:b/>
                <w:sz w:val="18"/>
              </w:rPr>
              <w:t xml:space="preserve">Term</w:t>
            </w:r>
          </w:p>
        </w:tc>
        <w:tc>
          <w:tcPr>
            <w:tcW w:w="4819" w:type="dxa"/>
          </w:tcPr>
          <w:p>
            <w:pPr>
              <w:pStyle w:val="Compact"/>
            </w:pPr>
            <w:r>
              <w:rPr>
                <w:b/>
                <w:sz w:val="18"/>
              </w:rPr>
              <w:t xml:space="preserve">Dense</w:t>
            </w:r>
          </w:p>
        </w:tc>
      </w:tr>
      <w:tr>
        <w:tc>
          <w:tcPr>
            <w:tcW w:w="4819" w:type="dxa"/>
          </w:tcPr>
          <w:p>
            <w:pPr>
              <w:pStyle w:val="Compact"/>
            </w:pPr>
            <w:r>
              <w:rPr>
                <w:sz w:val="18"/>
              </w:rPr>
              <w:t xml:space="preserve">Correct placement</w:t>
            </w:r>
          </w:p>
        </w:tc>
        <w:tc>
          <w:tcPr>
            <w:tcW w:w="4819" w:type="dxa"/>
          </w:tcPr>
          <w:p>
            <w:pPr>
              <w:pStyle w:val="Compact"/>
            </w:pPr>
            <w:r>
              <w:rPr>
                <w:sz w:val="18"/>
              </w:rPr>
              <w:t xml:space="preserve">+1.0</w:t>
            </w:r>
          </w:p>
        </w:tc>
      </w:tr>
      <w:tr>
        <w:tc>
          <w:tcPr>
            <w:tcW w:w="4819" w:type="dxa"/>
          </w:tcPr>
          <w:p>
            <w:pPr>
              <w:pStyle w:val="Compact"/>
            </w:pPr>
            <w:r>
              <w:rPr>
                <w:sz w:val="18"/>
              </w:rPr>
              <w:t xml:space="preserve">Reach: gripper moves closer to block</w:t>
            </w:r>
          </w:p>
        </w:tc>
        <w:tc>
          <w:tcPr>
            <w:tcW w:w="4819" w:type="dxa"/>
          </w:tcPr>
          <w:p>
            <w:pPr>
              <w:pStyle w:val="Compact"/>
            </w:pPr>
            <m:oMath>
              <m:r>
                <m:t>2.0</m:t>
              </m:r>
              <m:r>
                <m:t> </m:t>
              </m:r>
              <m:r>
                <m:rPr>
                  <m:sty m:val="p"/>
                </m:rPr>
                <m:t>Δ</m:t>
              </m:r>
              <m:sSub>
                <m:e>
                  <m:r>
                    <m:t>d</m:t>
                  </m:r>
                </m:e>
                <m:sub>
                  <m:r>
                    <m:rPr>
                      <m:nor/>
                      <m:sty m:val="p"/>
                    </m:rPr>
                    <m:t>reach</m:t>
                  </m:r>
                </m:sub>
              </m:sSub>
            </m:oMath>
          </w:p>
        </w:tc>
      </w:tr>
      <w:tr>
        <w:tc>
          <w:tcPr>
            <w:tcW w:w="4819" w:type="dxa"/>
          </w:tcPr>
          <w:p>
            <w:pPr>
              <w:pStyle w:val="Compact"/>
            </w:pPr>
            <w:r>
              <w:rPr>
                <w:sz w:val="18"/>
              </w:rPr>
              <w:t xml:space="preserve">Grasp: first time block is held</w:t>
            </w:r>
          </w:p>
        </w:tc>
        <w:tc>
          <w:tcPr>
            <w:tcW w:w="4819" w:type="dxa"/>
          </w:tcPr>
          <w:p>
            <w:pPr>
              <w:pStyle w:val="Compact"/>
            </w:pPr>
            <w:r>
              <w:rPr>
                <w:sz w:val="18"/>
              </w:rPr>
              <w:t xml:space="preserve">+0.5 (once)</w:t>
            </w:r>
          </w:p>
        </w:tc>
      </w:tr>
      <w:tr>
        <w:tc>
          <w:tcPr>
            <w:tcW w:w="4819" w:type="dxa"/>
          </w:tcPr>
          <w:p>
            <w:pPr>
              <w:pStyle w:val="Compact"/>
            </w:pPr>
            <w:r>
              <w:rPr>
                <w:sz w:val="18"/>
              </w:rPr>
              <w:t xml:space="preserve">Transport: held block moves closer to shelf</w:t>
            </w:r>
          </w:p>
        </w:tc>
        <w:tc>
          <w:tcPr>
            <w:tcW w:w="4819" w:type="dxa"/>
          </w:tcPr>
          <w:p>
            <w:pPr>
              <w:pStyle w:val="Compact"/>
            </w:pPr>
            <m:oMath>
              <m:r>
                <m:t>5.0</m:t>
              </m:r>
              <m:r>
                <m:t> </m:t>
              </m:r>
              <m:r>
                <m:rPr>
                  <m:sty m:val="p"/>
                </m:rPr>
                <m:t>Δ</m:t>
              </m:r>
              <m:sSub>
                <m:e>
                  <m:r>
                    <m:t>d</m:t>
                  </m:r>
                </m:e>
                <m:sub>
                  <m:r>
                    <m:rPr>
                      <m:nor/>
                      <m:sty m:val="p"/>
                    </m:rPr>
                    <m:t>transport</m:t>
                  </m:r>
                </m:sub>
              </m:sSub>
            </m:oMath>
          </w:p>
        </w:tc>
      </w:tr>
      <w:tr>
        <w:tc>
          <w:tcPr>
            <w:tcW w:w="4819" w:type="dxa"/>
          </w:tcPr>
          <w:p>
            <w:pPr>
              <w:pStyle w:val="Compact"/>
            </w:pPr>
            <w:r>
              <w:rPr>
                <w:sz w:val="18"/>
              </w:rPr>
              <w:t xml:space="preserve">Height: carry 5 cm high when far, lower over the target</w:t>
            </w:r>
          </w:p>
        </w:tc>
        <w:tc>
          <w:tcPr>
            <w:tcW w:w="4819" w:type="dxa"/>
          </w:tcPr>
          <w:p>
            <w:pPr>
              <w:pStyle w:val="Compact"/>
            </w:pPr>
            <m:oMath>
              <m:r>
                <m:t>10.0</m:t>
              </m:r>
              <m:r>
                <m:t> </m:t>
              </m:r>
              <m:r>
                <m:rPr>
                  <m:sty m:val="p"/>
                </m:rPr>
                <m:t>Δ</m:t>
              </m:r>
              <m:sSub>
                <m:e>
                  <m:r>
                    <m:rPr>
                      <m:sty m:val="p"/>
                    </m:rPr>
                    <m:t>Φ</m:t>
                  </m:r>
                </m:e>
                <m:sub>
                  <m:r>
                    <m:t>h</m:t>
                  </m:r>
                </m:sub>
              </m:sSub>
            </m:oMath>
          </w:p>
        </w:tc>
      </w:tr>
      <w:tr>
        <w:tc>
          <w:tcPr>
            <w:tcW w:w="4819" w:type="dxa"/>
          </w:tcPr>
          <w:p>
            <w:pPr>
              <w:pStyle w:val="Compact"/>
            </w:pPr>
            <w:r>
              <w:rPr>
                <w:sz w:val="18"/>
              </w:rPr>
              <w:t xml:space="preserve">Step penalty</w:t>
            </w:r>
          </w:p>
        </w:tc>
        <w:tc>
          <w:tcPr>
            <w:tcW w:w="4819" w:type="dxa"/>
          </w:tcPr>
          <w:p>
            <w:pPr>
              <w:pStyle w:val="Compact"/>
            </w:pPr>
            <w:r>
              <w:rPr>
                <w:sz w:val="18"/>
              </w:rPr>
              <w:t xml:space="preserve">−0.001</w:t>
            </w:r>
          </w:p>
        </w:tc>
      </w:tr>
    </w:tbl>
    <w:p>
      <w:pPr>
        <w:pStyle w:val="BodyText"/>
      </w:pPr>
      <w:r>
        <w:t xml:space="preserve">The full dense reward at step</w:t>
      </w:r>
      <w:r>
        <w:t xml:space="preserve"> </w:t>
      </w:r>
      <m:oMath>
        <m:r>
          <m:t>t</m:t>
        </m:r>
      </m:oMath>
      <w:r>
        <w:t xml:space="preserve"> </w:t>
      </w:r>
      <w:r>
        <w:t xml:space="preserve">is</w:t>
      </w:r>
    </w:p>
    <w:p>
      <w:pPr>
        <w:pStyle w:val="BodyText"/>
      </w:pPr>
      <m:oMathPara>
        <m:oMathParaPr>
          <m:jc m:val="center"/>
        </m:oMathParaPr>
        <m:oMath>
          <m:sSub>
            <m:e>
              <m:r>
                <m:t>r</m:t>
              </m:r>
            </m:e>
            <m:sub>
              <m:r>
                <m:t>t</m:t>
              </m:r>
            </m:sub>
          </m:sSub>
          <m:r>
            <m:rPr>
              <m:sty m:val="p"/>
            </m:rPr>
            <m:t>=</m:t>
          </m:r>
          <m:sSub>
            <m:e>
              <m:r>
                <m:rPr>
                  <m:scr m:val="double-struck"/>
                  <m:sty m:val="p"/>
                </m:rPr>
                <m:t>1</m:t>
              </m:r>
            </m:e>
            <m:sub>
              <m:r>
                <m:rPr>
                  <m:nor/>
                  <m:sty m:val="p"/>
                </m:rPr>
                <m:t>success</m:t>
              </m:r>
            </m:sub>
          </m:sSub>
          <m:r>
            <m:rPr>
              <m:sty m:val="p"/>
            </m:rPr>
            <m:t>+</m:t>
          </m:r>
          <m:r>
            <m:t>2</m:t>
          </m:r>
          <m:r>
            <m:t> </m:t>
          </m:r>
          <m:r>
            <m:rPr>
              <m:sty m:val="p"/>
            </m:rPr>
            <m:t>Δ</m:t>
          </m:r>
          <m:sSub>
            <m:e>
              <m:r>
                <m:t>d</m:t>
              </m:r>
            </m:e>
            <m:sub>
              <m:r>
                <m:rPr>
                  <m:nor/>
                  <m:sty m:val="p"/>
                </m:rPr>
                <m:t>reach</m:t>
              </m:r>
            </m:sub>
          </m:sSub>
          <m:r>
            <m:rPr>
              <m:sty m:val="p"/>
            </m:rPr>
            <m:t>+</m:t>
          </m:r>
          <m:r>
            <m:t>0.5</m:t>
          </m:r>
          <m:r>
            <m:t> </m:t>
          </m:r>
          <m:sSub>
            <m:e>
              <m:r>
                <m:rPr>
                  <m:scr m:val="double-struck"/>
                  <m:sty m:val="p"/>
                </m:rPr>
                <m:t>1</m:t>
              </m:r>
            </m:e>
            <m:sub>
              <m:r>
                <m:rPr>
                  <m:nor/>
                  <m:sty m:val="p"/>
                </m:rPr>
                <m:t>first grasp</m:t>
              </m:r>
            </m:sub>
          </m:sSub>
          <m:r>
            <m:rPr>
              <m:sty m:val="p"/>
            </m:rPr>
            <m:t>+</m:t>
          </m:r>
          <m:r>
            <m:t>5</m:t>
          </m:r>
          <m:r>
            <m:t> </m:t>
          </m:r>
          <m:sSub>
            <m:e>
              <m:r>
                <m:rPr>
                  <m:scr m:val="double-struck"/>
                  <m:sty m:val="p"/>
                </m:rPr>
                <m:t>1</m:t>
              </m:r>
            </m:e>
            <m:sub>
              <m:r>
                <m:rPr>
                  <m:nor/>
                  <m:sty m:val="p"/>
                </m:rPr>
                <m:t>grasped</m:t>
              </m:r>
            </m:sub>
          </m:sSub>
          <m:r>
            <m:t> </m:t>
          </m:r>
          <m:r>
            <m:rPr>
              <m:sty m:val="p"/>
            </m:rPr>
            <m:t>Δ</m:t>
          </m:r>
          <m:sSub>
            <m:e>
              <m:r>
                <m:t>d</m:t>
              </m:r>
            </m:e>
            <m:sub>
              <m:r>
                <m:rPr>
                  <m:nor/>
                  <m:sty m:val="p"/>
                </m:rPr>
                <m:t>transport</m:t>
              </m:r>
            </m:sub>
          </m:sSub>
          <m:r>
            <m:rPr>
              <m:sty m:val="p"/>
            </m:rPr>
            <m:t>+</m:t>
          </m:r>
          <m:r>
            <m:t>10</m:t>
          </m:r>
          <m:r>
            <m:t> </m:t>
          </m:r>
          <m:r>
            <m:rPr>
              <m:sty m:val="p"/>
            </m:rPr>
            <m:t>Δ</m:t>
          </m:r>
          <m:sSub>
            <m:e>
              <m:r>
                <m:rPr>
                  <m:sty m:val="p"/>
                </m:rPr>
                <m:t>Φ</m:t>
              </m:r>
            </m:e>
            <m:sub>
              <m:r>
                <m:t>h</m:t>
              </m:r>
            </m:sub>
          </m:sSub>
          <m:r>
            <m:rPr>
              <m:sty m:val="p"/>
            </m:rPr>
            <m:t>−</m:t>
          </m:r>
          <m:r>
            <m:t>0.001</m:t>
          </m:r>
        </m:oMath>
      </m:oMathPara>
    </w:p>
    <w:p>
      <w:pPr>
        <w:pStyle w:val="FirstParagraph"/>
      </w:pPr>
      <w:r>
        <w:t xml:space="preserve">where</w:t>
      </w:r>
      <w:r>
        <w:t xml:space="preserve"> </w:t>
      </w:r>
      <m:oMath>
        <m:r>
          <m:rPr>
            <m:sty m:val="p"/>
          </m:rPr>
          <m:t>Δ</m:t>
        </m:r>
        <m:r>
          <m:t>d</m:t>
        </m:r>
        <m:r>
          <m:rPr>
            <m:sty m:val="p"/>
          </m:rPr>
          <m:t>=</m:t>
        </m:r>
        <m:sSub>
          <m:e>
            <m:r>
              <m:t>d</m:t>
            </m:r>
          </m:e>
          <m:sub>
            <m:r>
              <m:t>t</m:t>
            </m:r>
            <m:r>
              <m:rPr>
                <m:sty m:val="p"/>
              </m:rPr>
              <m:t>−</m:t>
            </m:r>
            <m:r>
              <m:t>1</m:t>
            </m:r>
          </m:sub>
        </m:sSub>
        <m:r>
          <m:rPr>
            <m:sty m:val="p"/>
          </m:rPr>
          <m:t>−</m:t>
        </m:r>
        <m:sSub>
          <m:e>
            <m:r>
              <m:t>d</m:t>
            </m:r>
          </m:e>
          <m:sub>
            <m:r>
              <m:t>t</m:t>
            </m:r>
          </m:sub>
        </m:sSub>
      </m:oMath>
      <w:r>
        <w:t xml:space="preserve"> </w:t>
      </w:r>
      <w:r>
        <w:t xml:space="preserve">is the decrease in a distance over one step, and the height potential is</w:t>
      </w:r>
    </w:p>
    <w:p>
      <w:pPr>
        <w:pStyle w:val="BodyText"/>
      </w:pPr>
      <m:oMathPara>
        <m:oMathParaPr>
          <m:jc m:val="center"/>
        </m:oMathParaPr>
        <m:oMath>
          <m:sSub>
            <m:e>
              <m:r>
                <m:rPr>
                  <m:sty m:val="p"/>
                </m:rPr>
                <m:t>Φ</m:t>
              </m:r>
            </m:e>
            <m:sub>
              <m:r>
                <m:t>h</m:t>
              </m:r>
            </m:sub>
          </m:sSub>
          <m:r>
            <m:rPr>
              <m:sty m:val="p"/>
            </m:rPr>
            <m:t>=</m:t>
          </m:r>
          <m:r>
            <m:rPr>
              <m:sty m:val="p"/>
            </m:rPr>
            <m:t>−</m:t>
          </m:r>
          <m:d>
            <m:dPr>
              <m:begChr m:val="|"/>
              <m:sepChr m:val=""/>
              <m:endChr m:val="|"/>
              <m:grow/>
            </m:dPr>
            <m:e>
              <m:r>
                <m:t> </m:t>
              </m:r>
              <m:r>
                <m:rPr>
                  <m:sty m:val="p"/>
                </m:rPr>
                <m:t>min</m:t>
              </m:r>
              <m:r>
                <m:t>​</m:t>
              </m:r>
              <m:r>
                <m:rPr>
                  <m:sty m:val="p"/>
                </m:rPr>
                <m:t>(</m:t>
              </m:r>
              <m:sSub>
                <m:e>
                  <m:r>
                    <m:t>z</m:t>
                  </m:r>
                </m:e>
                <m:sub>
                  <m:r>
                    <m:rPr>
                      <m:nor/>
                      <m:sty m:val="p"/>
                    </m:rPr>
                    <m:t>lift</m:t>
                  </m:r>
                </m:sub>
              </m:sSub>
              <m:r>
                <m:rPr>
                  <m:sty m:val="p"/>
                </m:rPr>
                <m:t>,</m:t>
              </m:r>
              <m:r>
                <m:t> </m:t>
              </m:r>
              <m:r>
                <m:t>0.05</m:t>
              </m:r>
              <m:r>
                <m:rPr>
                  <m:sty m:val="p"/>
                </m:rPr>
                <m:t>)</m:t>
              </m:r>
              <m:r>
                <m:rPr>
                  <m:sty m:val="p"/>
                </m:rPr>
                <m:t>−</m:t>
              </m:r>
              <m:sSup>
                <m:e>
                  <m:r>
                    <m:t>z</m:t>
                  </m:r>
                </m:e>
                <m:sup>
                  <m:r>
                    <m:rPr>
                      <m:sty m:val="p"/>
                    </m:rPr>
                    <m:t>*</m:t>
                  </m:r>
                </m:sup>
              </m:sSup>
            </m:e>
          </m:d>
          <m:r>
            <m:rPr>
              <m:sty m:val="p"/>
            </m:rPr>
            <m:t>,</m:t>
          </m:r>
          <m:r>
            <m:t>  </m:t>
          </m:r>
          <m:sSup>
            <m:e>
              <m:r>
                <m:t>z</m:t>
              </m:r>
            </m:e>
            <m:sup>
              <m:r>
                <m:rPr>
                  <m:sty m:val="p"/>
                </m:rPr>
                <m:t>*</m:t>
              </m:r>
            </m:sup>
          </m:sSup>
          <m:r>
            <m:rPr>
              <m:sty m:val="p"/>
            </m:rPr>
            <m:t>=</m:t>
          </m:r>
          <m:r>
            <m:t>0.05</m:t>
          </m:r>
          <m:r>
            <m:t> </m:t>
          </m:r>
          <m:r>
            <m:rPr>
              <m:sty m:val="p"/>
            </m:rPr>
            <m:t>clip</m:t>
          </m:r>
          <m:r>
            <m:t>​</m:t>
          </m:r>
          <m:d>
            <m:dPr>
              <m:begChr m:val="("/>
              <m:sepChr m:val=""/>
              <m:endChr m:val=")"/>
              <m:grow/>
            </m:dPr>
            <m:e>
              <m:f>
                <m:fPr>
                  <m:type m:val="bar"/>
                </m:fPr>
                <m:num>
                  <m:sSub>
                    <m:e>
                      <m:r>
                        <m:t>d</m:t>
                      </m:r>
                    </m:e>
                    <m:sub>
                      <m:r>
                        <m:t>x</m:t>
                      </m:r>
                      <m:r>
                        <m:t>y</m:t>
                      </m:r>
                    </m:sub>
                  </m:sSub>
                  <m:r>
                    <m:rPr>
                      <m:sty m:val="p"/>
                    </m:rPr>
                    <m:t>−</m:t>
                  </m:r>
                  <m:r>
                    <m:t>0.03</m:t>
                  </m:r>
                </m:num>
                <m:den>
                  <m:r>
                    <m:t>0.05</m:t>
                  </m:r>
                </m:den>
              </m:f>
              <m:r>
                <m:rPr>
                  <m:sty m:val="p"/>
                </m:rPr>
                <m:t>,</m:t>
              </m:r>
              <m:r>
                <m:t> </m:t>
              </m:r>
              <m:r>
                <m:t>0</m:t>
              </m:r>
              <m:r>
                <m:rPr>
                  <m:sty m:val="p"/>
                </m:rPr>
                <m:t>,</m:t>
              </m:r>
              <m:r>
                <m:t> </m:t>
              </m:r>
              <m:r>
                <m:t>1</m:t>
              </m:r>
            </m:e>
          </m:d>
        </m:oMath>
      </m:oMathPara>
    </w:p>
    <w:p>
      <w:pPr>
        <w:pStyle w:val="FirstParagraph"/>
      </w:pPr>
      <w:r>
        <w:t xml:space="preserve">with</w:t>
      </w:r>
      <w:r>
        <w:t xml:space="preserve"> </w:t>
      </w:r>
      <m:oMath>
        <m:sSub>
          <m:e>
            <m:r>
              <m:t>z</m:t>
            </m:r>
          </m:e>
          <m:sub>
            <m:r>
              <m:rPr>
                <m:nor/>
                <m:sty m:val="p"/>
              </m:rPr>
              <m:t>lift</m:t>
            </m:r>
          </m:sub>
        </m:sSub>
      </m:oMath>
      <w:r>
        <w:t xml:space="preserve"> </w:t>
      </w:r>
      <w:r>
        <w:t xml:space="preserve">the block’s height above its resting position and</w:t>
      </w:r>
      <w:r>
        <w:t xml:space="preserve"> </w:t>
      </w:r>
      <m:oMath>
        <m:sSub>
          <m:e>
            <m:r>
              <m:t>d</m:t>
            </m:r>
          </m:e>
          <m:sub>
            <m:r>
              <m:t>x</m:t>
            </m:r>
            <m:r>
              <m:t>y</m:t>
            </m:r>
          </m:sub>
        </m:sSub>
      </m:oMath>
      <w:r>
        <w:t xml:space="preserve"> </w:t>
      </w:r>
      <w:r>
        <w:t xml:space="preserve">its horizontal distance to the target.</w:t>
      </w:r>
      <w:r>
        <w:t xml:space="preserve"> </w:t>
      </w:r>
      <m:oMath>
        <m:sSup>
          <m:e>
            <m:r>
              <m:t>z</m:t>
            </m:r>
          </m:e>
          <m:sup>
            <m:r>
              <m:rPr>
                <m:sty m:val="p"/>
              </m:rPr>
              <m:t>*</m:t>
            </m:r>
          </m:sup>
        </m:sSup>
      </m:oMath>
      <w:r>
        <w:t xml:space="preserve"> </w:t>
      </w:r>
      <w:r>
        <w:t xml:space="preserve">is the desired lift: 5 cm while far from the target, falling to 0 within 3 cm of it, so lowering the block over the target is rewarded.</w:t>
      </w:r>
    </w:p>
    <w:bookmarkEnd w:id="11"/>
    <w:bookmarkStart w:id="15" w:name="initial-results"/>
    <w:p>
      <w:pPr>
        <w:pStyle w:val="Heading2"/>
      </w:pPr>
      <w:r>
        <w:t xml:space="preserve">Initial Results</w:t>
      </w:r>
    </w:p>
    <w:p>
      <w:pPr>
        <w:pStyle w:val="FirstParagraph"/>
      </w:pPr>
      <w:r>
        <w:t xml:space="preserve">Both algorithms were trained for 3M steps on the dense reward with the settings above (Table 3, Figure 1).</w:t>
      </w:r>
    </w:p>
    <w:p>
      <w:pPr>
        <w:pStyle w:val="BodyText"/>
      </w:pPr>
      <w:r>
        <w:rPr>
          <w:b/>
          <w:bCs/>
        </w:rPr>
        <w:t xml:space="preserve">Table 3. PPO vs SAC on the dense reward after 3M steps (stochastic policy, last 50 training episodes per colour)</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212"/>
        <w:gridCol w:w="3212"/>
        <w:gridCol w:w="3212"/>
      </w:tblGrid>
      <w:tr>
        <w:trPr>
          <w:tblHeader w:val="on"/>
        </w:trPr>
        <w:tc>
          <w:tcPr>
            <w:tcW w:w="3212" w:type="dxa"/>
          </w:tcPr>
          <w:p>
            <w:pPr>
              <w:pStyle w:val="Compact"/>
            </w:pPr>
            <w:r>
              <w:rPr>
                <w:b/>
                <w:sz w:val="18"/>
              </w:rPr>
              <w:t xml:space="preserve">Metric</w:t>
            </w:r>
          </w:p>
        </w:tc>
        <w:tc>
          <w:tcPr>
            <w:tcW w:w="3212" w:type="dxa"/>
          </w:tcPr>
          <w:p>
            <w:pPr>
              <w:pStyle w:val="Compact"/>
            </w:pPr>
            <w:r>
              <w:rPr>
                <w:b/>
                <w:sz w:val="18"/>
              </w:rPr>
              <w:t xml:space="preserve">Dense PPO</w:t>
            </w:r>
          </w:p>
        </w:tc>
        <w:tc>
          <w:tcPr>
            <w:tcW w:w="3212" w:type="dxa"/>
          </w:tcPr>
          <w:p>
            <w:pPr>
              <w:pStyle w:val="Compact"/>
            </w:pPr>
            <w:r>
              <w:rPr>
                <w:b/>
                <w:sz w:val="18"/>
              </w:rPr>
              <w:t xml:space="preserve">Dense SAC</w:t>
            </w:r>
          </w:p>
        </w:tc>
      </w:tr>
      <w:tr>
        <w:tc>
          <w:tcPr>
            <w:tcW w:w="3212" w:type="dxa"/>
          </w:tcPr>
          <w:p>
            <w:pPr>
              <w:pStyle w:val="Compact"/>
            </w:pPr>
            <w:r>
              <w:rPr>
                <w:sz w:val="18"/>
              </w:rPr>
              <w:t xml:space="preserve">Success rate (mean)</w:t>
            </w:r>
          </w:p>
        </w:tc>
        <w:tc>
          <w:tcPr>
            <w:tcW w:w="3212" w:type="dxa"/>
          </w:tcPr>
          <w:p>
            <w:pPr>
              <w:pStyle w:val="Compact"/>
            </w:pPr>
            <w:r>
              <w:rPr>
                <w:sz w:val="18"/>
              </w:rPr>
              <w:t xml:space="preserve">0.79</w:t>
            </w:r>
          </w:p>
        </w:tc>
        <w:tc>
          <w:tcPr>
            <w:tcW w:w="3212" w:type="dxa"/>
          </w:tcPr>
          <w:p>
            <w:pPr>
              <w:pStyle w:val="Compact"/>
            </w:pPr>
            <w:r>
              <w:rPr>
                <w:b/>
                <w:bCs/>
                <w:sz w:val="18"/>
              </w:rPr>
              <w:t xml:space="preserve">1.00</w:t>
            </w:r>
          </w:p>
        </w:tc>
      </w:tr>
      <w:tr>
        <w:tc>
          <w:tcPr>
            <w:tcW w:w="3212" w:type="dxa"/>
          </w:tcPr>
          <w:p>
            <w:pPr>
              <w:pStyle w:val="Compact"/>
            </w:pPr>
            <w:r>
              <w:rPr>
                <w:sz w:val="18"/>
              </w:rPr>
              <w:t xml:space="preserve">Success: red / green / blue</w:t>
            </w:r>
          </w:p>
        </w:tc>
        <w:tc>
          <w:tcPr>
            <w:tcW w:w="3212" w:type="dxa"/>
          </w:tcPr>
          <w:p>
            <w:pPr>
              <w:pStyle w:val="Compact"/>
            </w:pPr>
            <w:r>
              <w:rPr>
                <w:sz w:val="18"/>
              </w:rPr>
              <w:t xml:space="preserve">0.84 / 0.86 / 0.68</w:t>
            </w:r>
          </w:p>
        </w:tc>
        <w:tc>
          <w:tcPr>
            <w:tcW w:w="3212" w:type="dxa"/>
          </w:tcPr>
          <w:p>
            <w:pPr>
              <w:pStyle w:val="Compact"/>
            </w:pPr>
            <w:r>
              <w:rPr>
                <w:sz w:val="18"/>
              </w:rPr>
              <w:t xml:space="preserve">1.00 / 1.00 / 1.00</w:t>
            </w:r>
          </w:p>
        </w:tc>
      </w:tr>
      <w:tr>
        <w:tc>
          <w:tcPr>
            <w:tcW w:w="3212" w:type="dxa"/>
          </w:tcPr>
          <w:p>
            <w:pPr>
              <w:pStyle w:val="Compact"/>
            </w:pPr>
            <w:r>
              <w:rPr>
                <w:sz w:val="18"/>
              </w:rPr>
              <w:t xml:space="preserve">Grasp rate (final / peak)</w:t>
            </w:r>
          </w:p>
        </w:tc>
        <w:tc>
          <w:tcPr>
            <w:tcW w:w="3212" w:type="dxa"/>
          </w:tcPr>
          <w:p>
            <w:pPr>
              <w:pStyle w:val="Compact"/>
            </w:pPr>
            <w:r>
              <w:rPr>
                <w:sz w:val="18"/>
              </w:rPr>
              <w:t xml:space="preserve">0.99 / 1.00</w:t>
            </w:r>
          </w:p>
        </w:tc>
        <w:tc>
          <w:tcPr>
            <w:tcW w:w="3212" w:type="dxa"/>
          </w:tcPr>
          <w:p>
            <w:pPr>
              <w:pStyle w:val="Compact"/>
            </w:pPr>
            <w:r>
              <w:rPr>
                <w:sz w:val="18"/>
              </w:rPr>
              <w:t xml:space="preserve">1.00 / 1.00</w:t>
            </w:r>
          </w:p>
        </w:tc>
      </w:tr>
      <w:tr>
        <w:tc>
          <w:tcPr>
            <w:tcW w:w="3212" w:type="dxa"/>
          </w:tcPr>
          <w:p>
            <w:pPr>
              <w:pStyle w:val="Compact"/>
            </w:pPr>
            <w:r>
              <w:rPr>
                <w:sz w:val="18"/>
              </w:rPr>
              <w:t xml:space="preserve">Steps to first success</w:t>
            </w:r>
          </w:p>
        </w:tc>
        <w:tc>
          <w:tcPr>
            <w:tcW w:w="3212" w:type="dxa"/>
          </w:tcPr>
          <w:p>
            <w:pPr>
              <w:pStyle w:val="Compact"/>
            </w:pPr>
            <w:r>
              <w:rPr>
                <w:b/>
                <w:bCs/>
                <w:sz w:val="18"/>
              </w:rPr>
              <w:t xml:space="preserve">86k</w:t>
            </w:r>
          </w:p>
        </w:tc>
        <w:tc>
          <w:tcPr>
            <w:tcW w:w="3212" w:type="dxa"/>
          </w:tcPr>
          <w:p>
            <w:pPr>
              <w:pStyle w:val="Compact"/>
            </w:pPr>
            <w:r>
              <w:rPr>
                <w:sz w:val="18"/>
              </w:rPr>
              <w:t xml:space="preserve">414k</w:t>
            </w:r>
          </w:p>
        </w:tc>
      </w:tr>
      <w:tr>
        <w:tc>
          <w:tcPr>
            <w:tcW w:w="3212" w:type="dxa"/>
          </w:tcPr>
          <w:p>
            <w:pPr>
              <w:pStyle w:val="Compact"/>
            </w:pPr>
            <w:r>
              <w:rPr>
                <w:sz w:val="18"/>
              </w:rPr>
              <w:t xml:space="preserve">Steps to 50% success: red / green / blue</w:t>
            </w:r>
          </w:p>
        </w:tc>
        <w:tc>
          <w:tcPr>
            <w:tcW w:w="3212" w:type="dxa"/>
          </w:tcPr>
          <w:p>
            <w:pPr>
              <w:pStyle w:val="Compact"/>
            </w:pPr>
            <w:r>
              <w:rPr>
                <w:sz w:val="18"/>
              </w:rPr>
              <w:t xml:space="preserve">0.86M / 1.30M / 2.30M</w:t>
            </w:r>
          </w:p>
        </w:tc>
        <w:tc>
          <w:tcPr>
            <w:tcW w:w="3212" w:type="dxa"/>
          </w:tcPr>
          <w:p>
            <w:pPr>
              <w:pStyle w:val="Compact"/>
            </w:pPr>
            <w:r>
              <w:rPr>
                <w:b/>
                <w:bCs/>
                <w:sz w:val="18"/>
              </w:rPr>
              <w:t xml:space="preserve">0.62M / 0.58M / 0.69M</w:t>
            </w:r>
          </w:p>
        </w:tc>
      </w:tr>
      <w:tr>
        <w:tc>
          <w:tcPr>
            <w:tcW w:w="3212" w:type="dxa"/>
          </w:tcPr>
          <w:p>
            <w:pPr>
              <w:pStyle w:val="Compact"/>
            </w:pPr>
            <w:r>
              <w:rPr>
                <w:sz w:val="18"/>
              </w:rPr>
              <w:t xml:space="preserve">Mean episode length</w:t>
            </w:r>
          </w:p>
        </w:tc>
        <w:tc>
          <w:tcPr>
            <w:tcW w:w="3212" w:type="dxa"/>
          </w:tcPr>
          <w:p>
            <w:pPr>
              <w:pStyle w:val="Compact"/>
            </w:pPr>
            <w:r>
              <w:rPr>
                <w:sz w:val="18"/>
              </w:rPr>
              <w:t xml:space="preserve">137</w:t>
            </w:r>
          </w:p>
        </w:tc>
        <w:tc>
          <w:tcPr>
            <w:tcW w:w="3212" w:type="dxa"/>
          </w:tcPr>
          <w:p>
            <w:pPr>
              <w:pStyle w:val="Compact"/>
            </w:pPr>
            <w:r>
              <w:rPr>
                <w:b/>
                <w:bCs/>
                <w:sz w:val="18"/>
              </w:rPr>
              <w:t xml:space="preserve">52</w:t>
            </w:r>
          </w:p>
        </w:tc>
      </w:tr>
    </w:tbl>
    <w:p>
      <w:pPr>
        <w:pStyle w:val="CaptionedFigure"/>
      </w:pPr>
      <w:r>
        <w:drawing>
          <wp:inline>
            <wp:extent cx="6120000" cy="2114181"/>
            <wp:effectExtent b="0" l="0" r="0" t="0"/>
            <wp:docPr descr="Training curves" title="" id="13" name="Picture"/>
            <a:graphic>
              <a:graphicData uri="http://schemas.openxmlformats.org/drawingml/2006/picture">
                <pic:pic>
                  <pic:nvPicPr>
                    <pic:cNvPr descr="training_curves.png" id="14" name="Picture"/>
                    <pic:cNvPicPr>
                      <a:picLocks noChangeArrowheads="1" noChangeAspect="1"/>
                    </pic:cNvPicPr>
                  </pic:nvPicPr>
                  <pic:blipFill>
                    <a:blip r:embed="rId12"/>
                    <a:stretch>
                      <a:fillRect/>
                    </a:stretch>
                  </pic:blipFill>
                  <pic:spPr bwMode="auto">
                    <a:xfrm>
                      <a:off x="0" y="0"/>
                      <a:ext cx="6120000" cy="2114181"/>
                    </a:xfrm>
                    <a:prstGeom prst="rect">
                      <a:avLst/>
                    </a:prstGeom>
                    <a:noFill/>
                    <a:ln w="9525">
                      <a:noFill/>
                      <a:headEnd/>
                      <a:tailEnd/>
                    </a:ln>
                  </pic:spPr>
                </pic:pic>
              </a:graphicData>
            </a:graphic>
          </wp:inline>
        </w:drawing>
      </w:r>
    </w:p>
    <w:p>
      <w:pPr>
        <w:pStyle w:val="ImageCaption"/>
      </w:pPr>
      <w:r>
        <w:t xml:space="preserve">Training curves</w:t>
      </w:r>
    </w:p>
    <w:p>
      <w:pPr>
        <w:pStyle w:val="BodyText"/>
      </w:pPr>
      <w:r>
        <w:rPr>
          <w:b/>
          <w:bCs/>
        </w:rPr>
        <w:t xml:space="preserve">Figure 1.</w:t>
      </w:r>
      <w:r>
        <w:t xml:space="preserve"> </w:t>
      </w:r>
      <w:r>
        <w:t xml:space="preserve">Dense SAC training curves (seed 0). Left: success rate, mean of the three colours over the last 50 episodes of each. Right: per-colour success and grasp rate. The matching PPO curves are in the dense-vs-sparse figure of our PPO experiments.</w:t>
      </w:r>
    </w:p>
    <w:p>
      <w:pPr>
        <w:pStyle w:val="BodyText"/>
      </w:pPr>
      <w:r>
        <w:rPr>
          <w:b/>
          <w:bCs/>
        </w:rPr>
        <w:t xml:space="preserve">Table 4. Final dense policies evaluated on 300 new episodes</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1376"/>
        <w:gridCol w:w="1376"/>
        <w:gridCol w:w="1376"/>
        <w:gridCol w:w="1376"/>
        <w:gridCol w:w="1376"/>
        <w:gridCol w:w="1376"/>
        <w:gridCol w:w="1376"/>
      </w:tblGrid>
      <w:tr>
        <w:trPr>
          <w:tblHeader w:val="on"/>
        </w:trPr>
        <w:tc>
          <w:tcPr>
            <w:tcW w:w="1376" w:type="dxa"/>
          </w:tcPr>
          <w:p>
            <w:pPr>
              <w:pStyle w:val="Compact"/>
            </w:pPr>
            <w:r>
              <w:rPr>
                <w:b/>
                <w:sz w:val="18"/>
              </w:rPr>
              <w:t xml:space="preserve">Algorithm</w:t>
            </w:r>
          </w:p>
        </w:tc>
        <w:tc>
          <w:tcPr>
            <w:tcW w:w="1376" w:type="dxa"/>
          </w:tcPr>
          <w:p>
            <w:pPr>
              <w:pStyle w:val="Compact"/>
            </w:pPr>
            <w:r>
              <w:rPr>
                <w:b/>
                <w:sz w:val="18"/>
              </w:rPr>
              <w:t xml:space="preserve">Action mode</w:t>
            </w:r>
          </w:p>
        </w:tc>
        <w:tc>
          <w:tcPr>
            <w:tcW w:w="1376" w:type="dxa"/>
          </w:tcPr>
          <w:p>
            <w:pPr>
              <w:pStyle w:val="Compact"/>
            </w:pPr>
            <w:r>
              <w:rPr>
                <w:b/>
                <w:sz w:val="18"/>
              </w:rPr>
              <w:t xml:space="preserve">Red</w:t>
            </w:r>
          </w:p>
        </w:tc>
        <w:tc>
          <w:tcPr>
            <w:tcW w:w="1376" w:type="dxa"/>
          </w:tcPr>
          <w:p>
            <w:pPr>
              <w:pStyle w:val="Compact"/>
            </w:pPr>
            <w:r>
              <w:rPr>
                <w:b/>
                <w:sz w:val="18"/>
              </w:rPr>
              <w:t xml:space="preserve">Green</w:t>
            </w:r>
          </w:p>
        </w:tc>
        <w:tc>
          <w:tcPr>
            <w:tcW w:w="1376" w:type="dxa"/>
          </w:tcPr>
          <w:p>
            <w:pPr>
              <w:pStyle w:val="Compact"/>
            </w:pPr>
            <w:r>
              <w:rPr>
                <w:b/>
                <w:sz w:val="18"/>
              </w:rPr>
              <w:t xml:space="preserve">Blue</w:t>
            </w:r>
          </w:p>
        </w:tc>
        <w:tc>
          <w:tcPr>
            <w:tcW w:w="1376" w:type="dxa"/>
          </w:tcPr>
          <w:p>
            <w:pPr>
              <w:pStyle w:val="Compact"/>
            </w:pPr>
            <w:r>
              <w:rPr>
                <w:b/>
                <w:sz w:val="18"/>
              </w:rPr>
              <w:t xml:space="preserve">Mean</w:t>
            </w:r>
          </w:p>
        </w:tc>
        <w:tc>
          <w:tcPr>
            <w:tcW w:w="1376" w:type="dxa"/>
          </w:tcPr>
          <w:p>
            <w:pPr>
              <w:pStyle w:val="Compact"/>
            </w:pPr>
            <w:r>
              <w:rPr>
                <w:b/>
                <w:sz w:val="18"/>
              </w:rPr>
              <w:t xml:space="preserve">Avg. steps to place (R / G / B)</w:t>
            </w:r>
          </w:p>
        </w:tc>
      </w:tr>
      <w:tr>
        <w:tc>
          <w:tcPr>
            <w:tcW w:w="1376" w:type="dxa"/>
          </w:tcPr>
          <w:p>
            <w:pPr>
              <w:pStyle w:val="Compact"/>
            </w:pPr>
            <w:r>
              <w:rPr>
                <w:sz w:val="18"/>
              </w:rPr>
              <w:t xml:space="preserve">PPO</w:t>
            </w:r>
          </w:p>
        </w:tc>
        <w:tc>
          <w:tcPr>
            <w:tcW w:w="1376" w:type="dxa"/>
          </w:tcPr>
          <w:p>
            <w:pPr>
              <w:pStyle w:val="Compact"/>
            </w:pPr>
            <w:r>
              <w:rPr>
                <w:sz w:val="18"/>
              </w:rPr>
              <w:t xml:space="preserve">Deterministic</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61 / 132 / 124</w:t>
            </w:r>
          </w:p>
        </w:tc>
      </w:tr>
      <w:tr>
        <w:tc>
          <w:tcPr>
            <w:tcW w:w="1376" w:type="dxa"/>
          </w:tcPr>
          <w:p>
            <w:pPr>
              <w:pStyle w:val="Compact"/>
            </w:pPr>
            <w:r>
              <w:rPr>
                <w:sz w:val="18"/>
              </w:rPr>
              <w:t xml:space="preserve">PPO</w:t>
            </w:r>
          </w:p>
        </w:tc>
        <w:tc>
          <w:tcPr>
            <w:tcW w:w="1376" w:type="dxa"/>
          </w:tcPr>
          <w:p>
            <w:pPr>
              <w:pStyle w:val="Compact"/>
            </w:pPr>
            <w:r>
              <w:rPr>
                <w:sz w:val="18"/>
              </w:rPr>
              <w:t xml:space="preserve">Stochastic</w:t>
            </w:r>
          </w:p>
        </w:tc>
        <w:tc>
          <w:tcPr>
            <w:tcW w:w="1376" w:type="dxa"/>
          </w:tcPr>
          <w:p>
            <w:pPr>
              <w:pStyle w:val="Compact"/>
            </w:pPr>
            <w:r>
              <w:rPr>
                <w:sz w:val="18"/>
              </w:rPr>
              <w:t xml:space="preserve">0.82</w:t>
            </w:r>
          </w:p>
        </w:tc>
        <w:tc>
          <w:tcPr>
            <w:tcW w:w="1376" w:type="dxa"/>
          </w:tcPr>
          <w:p>
            <w:pPr>
              <w:pStyle w:val="Compact"/>
            </w:pPr>
            <w:r>
              <w:rPr>
                <w:sz w:val="18"/>
              </w:rPr>
              <w:t xml:space="preserve">0.81</w:t>
            </w:r>
          </w:p>
        </w:tc>
        <w:tc>
          <w:tcPr>
            <w:tcW w:w="1376" w:type="dxa"/>
          </w:tcPr>
          <w:p>
            <w:pPr>
              <w:pStyle w:val="Compact"/>
            </w:pPr>
            <w:r>
              <w:rPr>
                <w:sz w:val="18"/>
              </w:rPr>
              <w:t xml:space="preserve">0.75</w:t>
            </w:r>
          </w:p>
        </w:tc>
        <w:tc>
          <w:tcPr>
            <w:tcW w:w="1376" w:type="dxa"/>
          </w:tcPr>
          <w:p>
            <w:pPr>
              <w:pStyle w:val="Compact"/>
            </w:pPr>
            <w:r>
              <w:rPr>
                <w:sz w:val="18"/>
              </w:rPr>
              <w:t xml:space="preserve">0.79</w:t>
            </w:r>
          </w:p>
        </w:tc>
        <w:tc>
          <w:tcPr>
            <w:tcW w:w="1376" w:type="dxa"/>
          </w:tcPr>
          <w:p>
            <w:pPr>
              <w:pStyle w:val="Compact"/>
            </w:pPr>
            <w:r>
              <w:rPr>
                <w:sz w:val="18"/>
              </w:rPr>
              <w:t xml:space="preserve">80 / 119 / 153</w:t>
            </w:r>
          </w:p>
        </w:tc>
      </w:tr>
      <w:tr>
        <w:tc>
          <w:tcPr>
            <w:tcW w:w="1376" w:type="dxa"/>
          </w:tcPr>
          <w:p>
            <w:pPr>
              <w:pStyle w:val="Compact"/>
            </w:pPr>
            <w:r>
              <w:rPr>
                <w:sz w:val="18"/>
              </w:rPr>
              <w:t xml:space="preserve">SAC</w:t>
            </w:r>
          </w:p>
        </w:tc>
        <w:tc>
          <w:tcPr>
            <w:tcW w:w="1376" w:type="dxa"/>
          </w:tcPr>
          <w:p>
            <w:pPr>
              <w:pStyle w:val="Compact"/>
            </w:pPr>
            <w:r>
              <w:rPr>
                <w:sz w:val="18"/>
              </w:rPr>
              <w:t xml:space="preserve">Deterministic</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34 / 51 / 61</w:t>
            </w:r>
          </w:p>
        </w:tc>
      </w:tr>
      <w:tr>
        <w:tc>
          <w:tcPr>
            <w:tcW w:w="1376" w:type="dxa"/>
          </w:tcPr>
          <w:p>
            <w:pPr>
              <w:pStyle w:val="Compact"/>
            </w:pPr>
            <w:r>
              <w:rPr>
                <w:sz w:val="18"/>
              </w:rPr>
              <w:t xml:space="preserve">SAC</w:t>
            </w:r>
          </w:p>
        </w:tc>
        <w:tc>
          <w:tcPr>
            <w:tcW w:w="1376" w:type="dxa"/>
          </w:tcPr>
          <w:p>
            <w:pPr>
              <w:pStyle w:val="Compact"/>
            </w:pPr>
            <w:r>
              <w:rPr>
                <w:sz w:val="18"/>
              </w:rPr>
              <w:t xml:space="preserve">Stochastic</w:t>
            </w:r>
          </w:p>
        </w:tc>
        <w:tc>
          <w:tcPr>
            <w:tcW w:w="1376" w:type="dxa"/>
          </w:tcPr>
          <w:p>
            <w:pPr>
              <w:pStyle w:val="Compact"/>
            </w:pPr>
            <w:r>
              <w:rPr>
                <w:sz w:val="18"/>
              </w:rPr>
              <w:t xml:space="preserve">1.00</w:t>
            </w:r>
          </w:p>
        </w:tc>
        <w:tc>
          <w:tcPr>
            <w:tcW w:w="1376" w:type="dxa"/>
          </w:tcPr>
          <w:p>
            <w:pPr>
              <w:pStyle w:val="Compact"/>
            </w:pPr>
            <w:r>
              <w:rPr>
                <w:sz w:val="18"/>
              </w:rPr>
              <w:t xml:space="preserve">1.00</w:t>
            </w:r>
          </w:p>
        </w:tc>
        <w:tc>
          <w:tcPr>
            <w:tcW w:w="1376" w:type="dxa"/>
          </w:tcPr>
          <w:p>
            <w:pPr>
              <w:pStyle w:val="Compact"/>
            </w:pPr>
            <w:r>
              <w:rPr>
                <w:sz w:val="18"/>
              </w:rPr>
              <w:t xml:space="preserve">0.98</w:t>
            </w:r>
          </w:p>
        </w:tc>
        <w:tc>
          <w:tcPr>
            <w:tcW w:w="1376" w:type="dxa"/>
          </w:tcPr>
          <w:p>
            <w:pPr>
              <w:pStyle w:val="Compact"/>
            </w:pPr>
            <w:r>
              <w:rPr>
                <w:sz w:val="18"/>
              </w:rPr>
              <w:t xml:space="preserve">0.99</w:t>
            </w:r>
          </w:p>
        </w:tc>
        <w:tc>
          <w:tcPr>
            <w:tcW w:w="1376" w:type="dxa"/>
          </w:tcPr>
          <w:p>
            <w:pPr>
              <w:pStyle w:val="Compact"/>
            </w:pPr>
            <w:r>
              <w:rPr>
                <w:sz w:val="18"/>
              </w:rPr>
              <w:t xml:space="preserve">36 / 53 / 61</w:t>
            </w:r>
          </w:p>
        </w:tc>
      </w:tr>
    </w:tbl>
    <w:p>
      <w:pPr>
        <w:pStyle w:val="BodyText"/>
      </w:pPr>
      <w:r>
        <w:t xml:space="preserve">The SAC evaluation used 99 red, 95 green and 106 blue episodes.</w:t>
      </w:r>
    </w:p>
    <w:p>
      <w:pPr>
        <w:pStyle w:val="BodyText"/>
      </w:pPr>
      <w:r>
        <w:rPr>
          <w:b/>
          <w:bCs/>
        </w:rPr>
        <w:t xml:space="preserve">Table 5. Failure modes found while developing the dense reward and training SAC</w:t>
      </w:r>
    </w:p>
    <w:tbl>
      <w:tblPr>
        <w:tblStyle w:val="Table"/>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2409"/>
        <w:gridCol w:w="2409"/>
        <w:gridCol w:w="2409"/>
        <w:gridCol w:w="2409"/>
      </w:tblGrid>
      <w:tr>
        <w:trPr>
          <w:tblHeader w:val="on"/>
        </w:trPr>
        <w:tc>
          <w:tcPr>
            <w:tcW w:w="2409" w:type="dxa"/>
          </w:tcPr>
          <w:p>
            <w:pPr>
              <w:pStyle w:val="Compact"/>
            </w:pPr>
            <w:r>
              <w:rPr>
                <w:b/>
                <w:sz w:val="18"/>
              </w:rPr>
              <w:t xml:space="preserve">Version</w:t>
            </w:r>
          </w:p>
        </w:tc>
        <w:tc>
          <w:tcPr>
            <w:tcW w:w="2409" w:type="dxa"/>
          </w:tcPr>
          <w:p>
            <w:pPr>
              <w:pStyle w:val="Compact"/>
            </w:pPr>
            <w:r>
              <w:rPr>
                <w:b/>
                <w:sz w:val="18"/>
              </w:rPr>
              <w:t xml:space="preserve">Behaviour</w:t>
            </w:r>
          </w:p>
        </w:tc>
        <w:tc>
          <w:tcPr>
            <w:tcW w:w="2409" w:type="dxa"/>
          </w:tcPr>
          <w:p>
            <w:pPr>
              <w:pStyle w:val="Compact"/>
            </w:pPr>
            <w:r>
              <w:rPr>
                <w:b/>
                <w:sz w:val="18"/>
              </w:rPr>
              <w:t xml:space="preserve">Cause</w:t>
            </w:r>
          </w:p>
        </w:tc>
        <w:tc>
          <w:tcPr>
            <w:tcW w:w="2409" w:type="dxa"/>
          </w:tcPr>
          <w:p>
            <w:pPr>
              <w:pStyle w:val="Compact"/>
            </w:pPr>
            <w:r>
              <w:rPr>
                <w:b/>
                <w:sz w:val="18"/>
              </w:rPr>
              <w:t xml:space="preserve">Fix</w:t>
            </w:r>
          </w:p>
        </w:tc>
      </w:tr>
      <w:tr>
        <w:tc>
          <w:tcPr>
            <w:tcW w:w="2409" w:type="dxa"/>
          </w:tcPr>
          <w:p>
            <w:pPr>
              <w:pStyle w:val="Compact"/>
            </w:pPr>
            <w:r>
              <w:rPr>
                <w:sz w:val="18"/>
              </w:rPr>
              <w:t xml:space="preserve">v2 (PPO)</w:t>
            </w:r>
          </w:p>
        </w:tc>
        <w:tc>
          <w:tcPr>
            <w:tcW w:w="2409" w:type="dxa"/>
          </w:tcPr>
          <w:p>
            <w:pPr>
              <w:pStyle w:val="Compact"/>
            </w:pPr>
            <w:r>
              <w:rPr>
                <w:sz w:val="18"/>
              </w:rPr>
              <w:t xml:space="preserve">Throws the block at the nearest zone (red only)</w:t>
            </w:r>
          </w:p>
        </w:tc>
        <w:tc>
          <w:tcPr>
            <w:tcW w:w="2409" w:type="dxa"/>
          </w:tcPr>
          <w:p>
            <w:pPr>
              <w:pStyle w:val="Compact"/>
            </w:pPr>
            <w:r>
              <w:rPr>
                <w:sz w:val="18"/>
              </w:rPr>
              <w:t xml:space="preserve">Gripper collision mesh could not hold the block (physics bug)</w:t>
            </w:r>
          </w:p>
        </w:tc>
        <w:tc>
          <w:tcPr>
            <w:tcW w:w="2409" w:type="dxa"/>
          </w:tcPr>
          <w:p>
            <w:pPr>
              <w:pStyle w:val="Compact"/>
            </w:pPr>
            <w:r>
              <w:rPr>
                <w:sz w:val="18"/>
              </w:rPr>
              <w:t xml:space="preserve">Box pads on the jaw faces</w:t>
            </w:r>
          </w:p>
        </w:tc>
      </w:tr>
      <w:tr>
        <w:tc>
          <w:tcPr>
            <w:tcW w:w="2409" w:type="dxa"/>
          </w:tcPr>
          <w:p>
            <w:pPr>
              <w:pStyle w:val="Compact"/>
            </w:pPr>
            <w:r>
              <w:rPr>
                <w:sz w:val="18"/>
              </w:rPr>
              <w:t xml:space="preserve">v4 (PPO)</w:t>
            </w:r>
          </w:p>
        </w:tc>
        <w:tc>
          <w:tcPr>
            <w:tcW w:w="2409" w:type="dxa"/>
          </w:tcPr>
          <w:p>
            <w:pPr>
              <w:pStyle w:val="Compact"/>
            </w:pPr>
            <w:r>
              <w:rPr>
                <w:sz w:val="18"/>
              </w:rPr>
              <w:t xml:space="preserve">Holds the block until timeout</w:t>
            </w:r>
          </w:p>
        </w:tc>
        <w:tc>
          <w:tcPr>
            <w:tcW w:w="2409" w:type="dxa"/>
          </w:tcPr>
          <w:p>
            <w:pPr>
              <w:pStyle w:val="Compact"/>
            </w:pPr>
            <w:r>
              <w:rPr>
                <w:sz w:val="18"/>
              </w:rPr>
              <w:t xml:space="preserve">Per-step hold bonus made stalling pay</w:t>
            </w:r>
          </w:p>
        </w:tc>
        <w:tc>
          <w:tcPr>
            <w:tcW w:w="2409" w:type="dxa"/>
          </w:tcPr>
          <w:p>
            <w:pPr>
              <w:pStyle w:val="Compact"/>
            </w:pPr>
            <w:r>
              <w:rPr>
                <w:sz w:val="18"/>
              </w:rPr>
              <w:t xml:space="preserve">Remove hold bonus</w:t>
            </w:r>
          </w:p>
        </w:tc>
      </w:tr>
      <w:tr>
        <w:tc>
          <w:tcPr>
            <w:tcW w:w="2409" w:type="dxa"/>
          </w:tcPr>
          <w:p>
            <w:pPr>
              <w:pStyle w:val="Compact"/>
            </w:pPr>
            <w:r>
              <w:rPr>
                <w:sz w:val="18"/>
              </w:rPr>
              <w:t xml:space="preserve">v5 (PPO)</w:t>
            </w:r>
          </w:p>
        </w:tc>
        <w:tc>
          <w:tcPr>
            <w:tcW w:w="2409" w:type="dxa"/>
          </w:tcPr>
          <w:p>
            <w:pPr>
              <w:pStyle w:val="Compact"/>
            </w:pPr>
            <w:r>
              <w:rPr>
                <w:sz w:val="18"/>
              </w:rPr>
              <w:t xml:space="preserve">Hovers above the target, never lowers</w:t>
            </w:r>
          </w:p>
        </w:tc>
        <w:tc>
          <w:tcPr>
            <w:tcW w:w="2409" w:type="dxa"/>
          </w:tcPr>
          <w:p>
            <w:pPr>
              <w:pStyle w:val="Compact"/>
            </w:pPr>
            <w:r>
              <w:rPr>
                <w:sz w:val="18"/>
              </w:rPr>
              <w:t xml:space="preserve">Lift term penalised lowering everywhere</w:t>
            </w:r>
          </w:p>
        </w:tc>
        <w:tc>
          <w:tcPr>
            <w:tcW w:w="2409" w:type="dxa"/>
          </w:tcPr>
          <w:p>
            <w:pPr>
              <w:pStyle w:val="Compact"/>
            </w:pPr>
            <w:r>
              <w:rPr>
                <w:sz w:val="18"/>
              </w:rPr>
              <w:t xml:space="preserve">Height target drops to 0 over the zone</w:t>
            </w:r>
          </w:p>
        </w:tc>
      </w:tr>
      <w:tr>
        <w:tc>
          <w:tcPr>
            <w:tcW w:w="2409" w:type="dxa"/>
          </w:tcPr>
          <w:p>
            <w:pPr>
              <w:pStyle w:val="Compact"/>
            </w:pPr>
            <w:r>
              <w:rPr>
                <w:sz w:val="18"/>
              </w:rPr>
              <w:t xml:space="preserve">SAC, 0.75M–2.0M steps</w:t>
            </w:r>
          </w:p>
        </w:tc>
        <w:tc>
          <w:tcPr>
            <w:tcW w:w="2409" w:type="dxa"/>
          </w:tcPr>
          <w:p>
            <w:pPr>
              <w:pStyle w:val="Compact"/>
            </w:pPr>
            <w:r>
              <w:rPr>
                <w:sz w:val="18"/>
              </w:rPr>
              <w:t xml:space="preserve">Deterministic success on 60-episode checks swings between 0.67 and 1.00: one colour fails with the mean action while the stochastic policy still places it (e.g. 1.5M checkpoint: deterministic 0.67 with green 0.00, stochastic 0.93)</w:t>
            </w:r>
          </w:p>
        </w:tc>
        <w:tc>
          <w:tcPr>
            <w:tcW w:w="2409" w:type="dxa"/>
          </w:tcPr>
          <w:p>
            <w:pPr>
              <w:pStyle w:val="Compact"/>
            </w:pPr>
            <w:r>
              <w:rPr>
                <w:sz w:val="18"/>
              </w:rPr>
              <w:t xml:space="preserve">Mean action still unreliable for one colour mid-training</w:t>
            </w:r>
          </w:p>
        </w:tc>
        <w:tc>
          <w:tcPr>
            <w:tcW w:w="2409" w:type="dxa"/>
          </w:tcPr>
          <w:p>
            <w:pPr>
              <w:pStyle w:val="Compact"/>
            </w:pPr>
            <w:r>
              <w:rPr>
                <w:sz w:val="18"/>
              </w:rPr>
              <w:t xml:space="preserve">None needed: stable at 1.00 from 2.25M steps on; save checkpoints and evaluate them</w:t>
            </w:r>
          </w:p>
        </w:tc>
      </w:tr>
      <w:tr>
        <w:tc>
          <w:tcPr>
            <w:tcW w:w="2409" w:type="dxa"/>
          </w:tcPr>
          <w:p>
            <w:pPr>
              <w:pStyle w:val="Compact"/>
            </w:pPr>
            <w:r>
              <w:rPr>
                <w:sz w:val="18"/>
              </w:rPr>
              <w:t xml:space="preserve">SAC, 2.59M steps</w:t>
            </w:r>
          </w:p>
        </w:tc>
        <w:tc>
          <w:tcPr>
            <w:tcW w:w="2409" w:type="dxa"/>
          </w:tcPr>
          <w:p>
            <w:pPr>
              <w:pStyle w:val="Compact"/>
            </w:pPr>
            <w:r>
              <w:rPr>
                <w:sz w:val="18"/>
              </w:rPr>
              <w:t xml:space="preserve">Training success drops from ~1.00 to 0.05, then recovers to 0.91 within 25k steps</w:t>
            </w:r>
          </w:p>
        </w:tc>
        <w:tc>
          <w:tcPr>
            <w:tcW w:w="2409" w:type="dxa"/>
          </w:tcPr>
          <w:p>
            <w:pPr>
              <w:pStyle w:val="Compact"/>
            </w:pPr>
            <w:r>
              <w:rPr>
                <w:sz w:val="18"/>
              </w:rPr>
              <w:t xml:space="preserve">Brief instability, not diagnosed</w:t>
            </w:r>
          </w:p>
        </w:tc>
        <w:tc>
          <w:tcPr>
            <w:tcW w:w="2409" w:type="dxa"/>
          </w:tcPr>
          <w:p>
            <w:pPr>
              <w:pStyle w:val="Compact"/>
            </w:pPr>
            <w:r>
              <w:rPr>
                <w:sz w:val="18"/>
              </w:rPr>
              <w:t xml:space="preserve">None needed for this run; a reason to keep checkpoints</w:t>
            </w:r>
          </w:p>
        </w:tc>
      </w:tr>
    </w:tbl>
    <w:bookmarkEnd w:id="15"/>
    <w:bookmarkStart w:id="16" w:name="findings"/>
    <w:p>
      <w:pPr>
        <w:pStyle w:val="Heading2"/>
      </w:pPr>
      <w:r>
        <w:t xml:space="preserve">Findings</w:t>
      </w:r>
    </w:p>
    <w:p>
      <w:pPr>
        <w:pStyle w:val="Compact"/>
        <w:numPr>
          <w:ilvl w:val="0"/>
          <w:numId w:val="1003"/>
        </w:numPr>
      </w:pPr>
      <w:r>
        <w:rPr>
          <w:b/>
          <w:bCs/>
        </w:rPr>
        <w:t xml:space="preserve">SAC learned the task faster and more reliably than PPO.</w:t>
      </w:r>
      <w:r>
        <w:t xml:space="preserve"> </w:t>
      </w:r>
      <w:r>
        <w:t xml:space="preserve">At the same 3M-step budget, SAC’s stochastic policy reached 1.00 success against PPO’s 0.79, and reached 50% on every colour by 0.69M steps. PPO needed 2.30M steps to reach 50% on blue, so SAC got there about 3.3× faster for the hardest colour. SAC also learned all three colours at almost the same time, whereas PPO learned them in order of distance (red, green, then blue).</w:t>
      </w:r>
    </w:p>
    <w:p>
      <w:pPr>
        <w:pStyle w:val="Compact"/>
        <w:numPr>
          <w:ilvl w:val="0"/>
          <w:numId w:val="1003"/>
        </w:numPr>
      </w:pPr>
      <w:r>
        <w:rPr>
          <w:b/>
          <w:bCs/>
        </w:rPr>
        <w:t xml:space="preserve">SAC’s policies are faster and less sensitive to action noise.</w:t>
      </w:r>
      <w:r>
        <w:t xml:space="preserve"> </w:t>
      </w:r>
      <w:r>
        <w:t xml:space="preserve">SAC places the block in about half the steps (34 / 51 / 61 vs 61 / 132 / 124 deterministic), and its stochastic policy is almost as good as its deterministic one (0.99 vs 1.00). PPO loses 21 points when actions are sampled (0.79 vs 1.00).</w:t>
      </w:r>
    </w:p>
    <w:p>
      <w:pPr>
        <w:pStyle w:val="Compact"/>
        <w:numPr>
          <w:ilvl w:val="0"/>
          <w:numId w:val="1003"/>
        </w:numPr>
      </w:pPr>
      <w:r>
        <w:rPr>
          <w:b/>
          <w:bCs/>
        </w:rPr>
        <w:t xml:space="preserve">PPO found its first success sooner.</w:t>
      </w:r>
      <w:r>
        <w:t xml:space="preserve"> </w:t>
      </w:r>
      <w:r>
        <w:t xml:space="preserve">PPO’s first placement came at 86k steps, SAC’s at 414k. SAC was already grasping by about 0.2M steps (Figure 1), but needed more steps before the first full placement; after that it improved much faster than PPO.</w:t>
      </w:r>
    </w:p>
    <w:p>
      <w:pPr>
        <w:pStyle w:val="Compact"/>
        <w:numPr>
          <w:ilvl w:val="0"/>
          <w:numId w:val="1003"/>
        </w:numPr>
      </w:pPr>
      <w:r>
        <w:rPr>
          <w:b/>
          <w:bCs/>
        </w:rPr>
        <w:t xml:space="preserve">SAC training was not perfectly stable.</w:t>
      </w:r>
      <w:r>
        <w:t xml:space="preserve"> </w:t>
      </w:r>
      <w:r>
        <w:t xml:space="preserve">Its deterministic success on saved checkpoints swung between 0.67 and 1.00 until 2.0M steps, and training success briefly collapsed to 0.05 at 2.59M steps before recovering. The final policy was unaffected, but on another seed the final weights could land in such a dip, so checkpointing matters.</w:t>
      </w:r>
    </w:p>
    <w:p>
      <w:pPr>
        <w:pStyle w:val="Compact"/>
        <w:numPr>
          <w:ilvl w:val="0"/>
          <w:numId w:val="1003"/>
        </w:numPr>
      </w:pPr>
      <w:r>
        <w:rPr>
          <w:b/>
          <w:bCs/>
        </w:rPr>
        <w:t xml:space="preserve">The comparison is not fully controlled.</w:t>
      </w:r>
      <w:r>
        <w:t xml:space="preserve"> </w:t>
      </w:r>
      <w:r>
        <w:t xml:space="preserve">Both algorithms used Stable-Baselines3 defaults, so SAC had a larger network (256×256 vs 64×64) and 4 parallel environments vs PPO’s 1. The step budget and wall-clock time (~91 vs ~92 min) are matched, but the network size alone could explain part of the gap.</w:t>
      </w:r>
    </w:p>
    <w:p>
      <w:pPr>
        <w:pStyle w:val="Compact"/>
        <w:numPr>
          <w:ilvl w:val="0"/>
          <w:numId w:val="1003"/>
        </w:numPr>
      </w:pPr>
      <w:r>
        <w:rPr>
          <w:b/>
          <w:bCs/>
        </w:rPr>
        <w:t xml:space="preserve">Limitations and next steps:</w:t>
      </w:r>
      <w:r>
        <w:t xml:space="preserve"> </w:t>
      </w:r>
      <w:r>
        <w:t xml:space="preserve">these are single-seed results. Because only the colour changes between episodes, a deterministic 100% replays three fixed paths and does not show generalisation. Next steps: 3+ seeds per algorithm, matching network sizes, the sparse-reward condition for SAC, and randomised start positions.</w:t>
      </w:r>
    </w:p>
    <w:bookmarkEnd w:id="16"/>
    <w:bookmarkStart w:id="17" w:name="reproducing-the-results"/>
    <w:p>
      <w:pPr>
        <w:pStyle w:val="Heading2"/>
      </w:pPr>
      <w:r>
        <w:t xml:space="preserve">Reproducing the results</w:t>
      </w:r>
    </w:p>
    <w:p>
      <w:pPr>
        <w:pStyle w:val="SourceCode"/>
      </w:pPr>
      <w:r>
        <w:rPr>
          <w:rStyle w:val="FunctionTok"/>
        </w:rPr>
        <w:t xml:space="preserve">git</w:t>
      </w:r>
      <w:r>
        <w:rPr>
          <w:rStyle w:val="NormalTok"/>
        </w:rPr>
        <w:t xml:space="preserve"> checkout sac-on-main</w:t>
      </w:r>
      <w:r>
        <w:br/>
      </w:r>
      <w:r>
        <w:rPr>
          <w:rStyle w:val="ExtensionTok"/>
        </w:rPr>
        <w:t xml:space="preserve">uv</w:t>
      </w:r>
      <w:r>
        <w:rPr>
          <w:rStyle w:val="NormalTok"/>
        </w:rPr>
        <w:t xml:space="preserve"> run python </w:t>
      </w:r>
      <w:r>
        <w:rPr>
          <w:rStyle w:val="AttributeTok"/>
        </w:rPr>
        <w:t xml:space="preserve">-m</w:t>
      </w:r>
      <w:r>
        <w:rPr>
          <w:rStyle w:val="NormalTok"/>
        </w:rPr>
        <w:t xml:space="preserve"> shelfsort.train </w:t>
      </w:r>
      <w:r>
        <w:rPr>
          <w:rStyle w:val="AttributeTok"/>
        </w:rPr>
        <w:t xml:space="preserve">--reward-mode</w:t>
      </w:r>
      <w:r>
        <w:rPr>
          <w:rStyle w:val="NormalTok"/>
        </w:rPr>
        <w:t xml:space="preserve"> dense </w:t>
      </w:r>
      <w:r>
        <w:rPr>
          <w:rStyle w:val="AttributeTok"/>
        </w:rPr>
        <w:t xml:space="preserve">--algo</w:t>
      </w:r>
      <w:r>
        <w:rPr>
          <w:rStyle w:val="NormalTok"/>
        </w:rPr>
        <w:t xml:space="preserve"> sac </w:t>
      </w:r>
      <w:r>
        <w:rPr>
          <w:rStyle w:val="AttributeTok"/>
        </w:rPr>
        <w:t xml:space="preserve">--n-envs</w:t>
      </w:r>
      <w:r>
        <w:rPr>
          <w:rStyle w:val="NormalTok"/>
        </w:rPr>
        <w:t xml:space="preserve"> 4 </w:t>
      </w:r>
      <w:r>
        <w:rPr>
          <w:rStyle w:val="AttributeTok"/>
        </w:rPr>
        <w:t xml:space="preserve">--timesteps</w:t>
      </w:r>
      <w:r>
        <w:rPr>
          <w:rStyle w:val="NormalTok"/>
        </w:rPr>
        <w:t xml:space="preserve"> 3000000 </w:t>
      </w:r>
      <w:r>
        <w:rPr>
          <w:rStyle w:val="AttributeTok"/>
        </w:rPr>
        <w:t xml:space="preserve">--checkpoint-every</w:t>
      </w:r>
      <w:r>
        <w:rPr>
          <w:rStyle w:val="NormalTok"/>
        </w:rPr>
        <w:t xml:space="preserve"> 250000 </w:t>
      </w:r>
      <w:r>
        <w:rPr>
          <w:rStyle w:val="AttributeTok"/>
        </w:rPr>
        <w:t xml:space="preserve">--out</w:t>
      </w:r>
      <w:r>
        <w:rPr>
          <w:rStyle w:val="NormalTok"/>
        </w:rPr>
        <w:t xml:space="preserve"> runs/main_sac</w:t>
      </w:r>
      <w:r>
        <w:br/>
      </w:r>
      <w:r>
        <w:rPr>
          <w:rStyle w:val="ExtensionTok"/>
        </w:rPr>
        <w:t xml:space="preserve">uv</w:t>
      </w:r>
      <w:r>
        <w:rPr>
          <w:rStyle w:val="NormalTok"/>
        </w:rPr>
        <w:t xml:space="preserve"> run python </w:t>
      </w:r>
      <w:r>
        <w:rPr>
          <w:rStyle w:val="AttributeTok"/>
        </w:rPr>
        <w:t xml:space="preserve">-m</w:t>
      </w:r>
      <w:r>
        <w:rPr>
          <w:rStyle w:val="NormalTok"/>
        </w:rPr>
        <w:t xml:space="preserve"> shelfsort.evaluate </w:t>
      </w:r>
      <w:r>
        <w:rPr>
          <w:rStyle w:val="AttributeTok"/>
        </w:rPr>
        <w:t xml:space="preserve">--model</w:t>
      </w:r>
      <w:r>
        <w:rPr>
          <w:rStyle w:val="NormalTok"/>
        </w:rPr>
        <w:t xml:space="preserve"> runs/main_sac/models/dense_seed0_sac.zip </w:t>
      </w:r>
      <w:r>
        <w:rPr>
          <w:rStyle w:val="AttributeTok"/>
        </w:rPr>
        <w:t xml:space="preserve">--episodes</w:t>
      </w:r>
      <w:r>
        <w:rPr>
          <w:rStyle w:val="NormalTok"/>
        </w:rPr>
        <w:t xml:space="preserve"> 300</w:t>
      </w:r>
      <w:r>
        <w:br/>
      </w:r>
      <w:r>
        <w:rPr>
          <w:rStyle w:val="ExtensionTok"/>
        </w:rPr>
        <w:t xml:space="preserve">uv</w:t>
      </w:r>
      <w:r>
        <w:rPr>
          <w:rStyle w:val="NormalTok"/>
        </w:rPr>
        <w:t xml:space="preserve"> run </w:t>
      </w:r>
      <w:r>
        <w:rPr>
          <w:rStyle w:val="AttributeTok"/>
        </w:rPr>
        <w:t xml:space="preserve">--with</w:t>
      </w:r>
      <w:r>
        <w:rPr>
          <w:rStyle w:val="NormalTok"/>
        </w:rPr>
        <w:t xml:space="preserve"> matplotlib python </w:t>
      </w:r>
      <w:r>
        <w:rPr>
          <w:rStyle w:val="AttributeTok"/>
        </w:rPr>
        <w:t xml:space="preserve">-m</w:t>
      </w:r>
      <w:r>
        <w:rPr>
          <w:rStyle w:val="NormalTok"/>
        </w:rPr>
        <w:t xml:space="preserve"> shelfsort.report </w:t>
      </w:r>
      <w:r>
        <w:rPr>
          <w:rStyle w:val="AttributeTok"/>
        </w:rPr>
        <w:t xml:space="preserve">--runs</w:t>
      </w:r>
      <w:r>
        <w:rPr>
          <w:rStyle w:val="NormalTok"/>
        </w:rPr>
        <w:t xml:space="preserve"> runs/main_sac </w:t>
      </w:r>
      <w:r>
        <w:rPr>
          <w:rStyle w:val="AttributeTok"/>
        </w:rPr>
        <w:t xml:space="preserve">--out</w:t>
      </w:r>
      <w:r>
        <w:rPr>
          <w:rStyle w:val="NormalTok"/>
        </w:rPr>
        <w:t xml:space="preserve"> docs/report_sac</w:t>
      </w:r>
      <w:r>
        <w:br/>
      </w:r>
      <w:r>
        <w:rPr>
          <w:rStyle w:val="ExtensionTok"/>
        </w:rPr>
        <w:t xml:space="preserve">uv</w:t>
      </w:r>
      <w:r>
        <w:rPr>
          <w:rStyle w:val="NormalTok"/>
        </w:rPr>
        <w:t xml:space="preserve"> run mjpython </w:t>
      </w:r>
      <w:r>
        <w:rPr>
          <w:rStyle w:val="AttributeTok"/>
        </w:rPr>
        <w:t xml:space="preserve">-m</w:t>
      </w:r>
      <w:r>
        <w:rPr>
          <w:rStyle w:val="NormalTok"/>
        </w:rPr>
        <w:t xml:space="preserve"> shelfsort.play </w:t>
      </w:r>
      <w:r>
        <w:rPr>
          <w:rStyle w:val="AttributeTok"/>
        </w:rPr>
        <w:t xml:space="preserve">--model</w:t>
      </w:r>
      <w:r>
        <w:rPr>
          <w:rStyle w:val="NormalTok"/>
        </w:rPr>
        <w:t xml:space="preserve"> runs/main_sac/models/dense_seed0_sac.zip</w:t>
      </w:r>
    </w:p>
    <w:bookmarkEnd w:id="17"/>
    <w:bookmarkStart w:id="18" w:name="references"/>
    <w:p>
      <w:pPr>
        <w:pStyle w:val="Heading2"/>
      </w:pPr>
      <w:r>
        <w:t xml:space="preserve">References</w:t>
      </w:r>
    </w:p>
    <w:p>
      <w:pPr>
        <w:pStyle w:val="FirstParagraph"/>
      </w:pPr>
      <w:r>
        <w:t xml:space="preserve">Haarnoja, T., Zhou, A., Abbeel, P., &amp; Levine, S. (2018). Soft actor-critic: Off-policy maximum entropy deep reinforcement learning with a stochastic actor.</w:t>
      </w:r>
      <w:r>
        <w:t xml:space="preserve"> </w:t>
      </w:r>
      <w:r>
        <w:rPr>
          <w:i/>
          <w:iCs/>
        </w:rPr>
        <w:t xml:space="preserve">Proc. ICML</w:t>
      </w:r>
      <w:r>
        <w:t xml:space="preserve">, 1861–1870.</w:t>
      </w:r>
    </w:p>
    <w:p>
      <w:pPr>
        <w:pStyle w:val="BodyText"/>
      </w:pPr>
      <w:r>
        <w:t xml:space="preserve">Ng, A. Y., Harada, D., &amp; Russell, S. (1999). Policy invariance under reward transformations: Theory and application to reward shaping.</w:t>
      </w:r>
      <w:r>
        <w:t xml:space="preserve"> </w:t>
      </w:r>
      <w:r>
        <w:rPr>
          <w:i/>
          <w:iCs/>
        </w:rPr>
        <w:t xml:space="preserve">Proc. ICML</w:t>
      </w:r>
      <w:r>
        <w:t xml:space="preserve">, 278–287.</w:t>
      </w:r>
    </w:p>
    <w:p>
      <w:pPr>
        <w:pStyle w:val="BodyText"/>
      </w:pPr>
      <w:r>
        <w:t xml:space="preserve">Schulman, J., Wolski, F., Dhariwal, P., Radford, A., &amp; Klimov, O. (2017). Proximal policy optimization algorithms.</w:t>
      </w:r>
      <w:r>
        <w:t xml:space="preserve"> </w:t>
      </w:r>
      <w:r>
        <w:rPr>
          <w:i/>
          <w:iCs/>
        </w:rPr>
        <w:t xml:space="preserve">arXiv:1707.06347</w:t>
      </w:r>
      <w:r>
        <w:t xml:space="preserve">.</w:t>
      </w:r>
    </w:p>
    <w:bookmarkEnd w:id="18"/>
    <w:bookmarkEnd w:id="19"/>
    <w:sectPr>
      <w:footnotePr>
        <w:numRestart w:val="eachSect"/>
      </w:footnote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2026-10-08T12:38:21Z</dcterms:created>
  <dcterms:modified xsi:type="dcterms:W3CDTF">2026-10-08T12:38:21Z</dcterms:modified>
</cp:coreProperties>
</file>

<file path=docProps/custom.xml><?xml version="1.0" encoding="utf-8"?>
<Properties xmlns="http://schemas.openxmlformats.org/officeDocument/2006/custom-properties" xmlns:vt="http://schemas.openxmlformats.org/officeDocument/2006/docPropsVTypes"/>
</file>