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供应商管理制度</w:t>
      </w:r>
    </w:p>
    <w:p>
      <w:r>
        <w:t>第一章 总则</w:t>
      </w:r>
    </w:p>
    <w:p>
      <w:r>
        <w:t>第一条 为规范供应商全生命周期管理，保障采购质量、降低供应风险、提升供应链协同效率，特制定本制度。</w:t>
      </w:r>
    </w:p>
    <w:p>
      <w:r>
        <w:t>第二条 供应商状态分为：注册、待审核、已准入、合作中、冻结、黑名单六种，状态流转禁止越级变更。</w:t>
      </w:r>
    </w:p>
    <w:p>
      <w:pPr>
        <w:pStyle w:val="Heading1"/>
      </w:pPr>
      <w:r>
        <w:t>第二章 供应商准入</w:t>
      </w:r>
    </w:p>
    <w:p>
      <w:r>
        <w:t>第三条 新供应商注册后进入「待审核」状态，需提交营业执照、资质证书及样品。</w:t>
      </w:r>
    </w:p>
    <w:p>
      <w:r>
        <w:t>第四条 采购部与质检部联合审核，重点核查资质等级、生产能力、历史履约与关联风险。</w:t>
      </w:r>
    </w:p>
    <w:p>
      <w:pPr>
        <w:pStyle w:val="Heading1"/>
      </w:pPr>
      <w:r>
        <w:t>第三章 资质证书管理</w:t>
      </w:r>
    </w:p>
    <w:p>
      <w:r>
        <w:t>第五条 资质证书权威数据源为 PostgreSQL，并同步至知识图谱，每日扫描 30 天内到期资质并通知续期。</w:t>
      </w:r>
    </w:p>
    <w:p>
      <w:pPr>
        <w:pStyle w:val="Heading1"/>
      </w:pPr>
      <w:r>
        <w:t>第四章 询比价与定标</w:t>
      </w:r>
    </w:p>
    <w:p>
      <w:r>
        <w:t>第六条 通过 AI 采购助手发起正式询比价，收集报价并完成评分、风险、推荐分析，采购员确认后自动生成订单。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