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0E7C7B"/>
          <w:sz w:val="144"/>
        </w:rPr>
        <w:t>EPVS</w:t>
      </w:r>
    </w:p>
    <w:p>
      <w:pPr>
        <w:jc w:val="center"/>
      </w:pPr>
      <w:r>
        <w:rPr>
          <w:color w:val="6B7280"/>
          <w:sz w:val="28"/>
        </w:rPr>
        <w:t>Egg Production Verification System</w:t>
      </w:r>
    </w:p>
    <w:p>
      <w:pPr>
        <w:spacing w:before="1200"/>
        <w:jc w:val="center"/>
      </w:pPr>
      <w:r>
        <w:rPr>
          <w:b/>
          <w:color w:val="1F2937"/>
          <w:sz w:val="60"/>
        </w:rPr>
        <w:t>ALS Collections Manual</w:t>
      </w:r>
    </w:p>
    <w:p>
      <w:pPr>
        <w:jc w:val="center"/>
      </w:pPr>
      <w:r>
        <w:rPr>
          <w:i/>
          <w:color w:val="6B7280"/>
          <w:sz w:val="28"/>
        </w:rPr>
        <w:t>Levy invoicing, reconciliation and reporting</w:t>
      </w:r>
    </w:p>
    <w:p>
      <w:pPr>
        <w:spacing w:before="2000"/>
        <w:jc w:val="center"/>
      </w:pPr>
      <w:r>
        <w:rPr>
          <w:color w:val="0A5C5B"/>
          <w:sz w:val="24"/>
        </w:rPr>
        <w:t>Audience: ALS Collections team</w:t>
      </w:r>
    </w:p>
    <w:p>
      <w:pPr>
        <w:jc w:val="center"/>
      </w:pPr>
      <w:r>
        <w:rPr>
          <w:color w:val="6B7280"/>
          <w:sz w:val="22"/>
        </w:rPr>
        <w:t>Edition April 2026</w:t>
      </w:r>
    </w:p>
    <w:p>
      <w:pPr>
        <w:spacing w:before="1200"/>
        <w:jc w:val="center"/>
      </w:pPr>
      <w:r>
        <w:rPr>
          <w:b/>
          <w:color w:val="0E7C7B"/>
          <w:sz w:val="22"/>
        </w:rPr>
        <w:t>ALS Food Safety Agency</w:t>
      </w:r>
    </w:p>
    <w:p>
      <w:pPr>
        <w:spacing w:before="120"/>
        <w:jc w:val="center"/>
      </w:pPr>
      <w:r>
        <w:rPr>
          <w:b/>
          <w:color w:val="DC2626"/>
          <w:sz w:val="22"/>
        </w:rPr>
        <w:t>All amounts throughout EPVS are shown EXCLUSIVE of VAT.</w:t>
      </w:r>
    </w:p>
    <w:p>
      <w:r>
        <w:br w:type="page"/>
      </w:r>
    </w:p>
    <w:p>
      <w:pPr>
        <w:pStyle w:val="Heading1"/>
      </w:pPr>
      <w:r>
        <w:t>Table of Contents</w:t>
      </w:r>
    </w:p>
    <w:p>
      <w:r>
        <w:rPr>
          <w:color w:val="374151"/>
          <w:sz w:val="21"/>
        </w:rPr>
        <w:t>This document uses a Word Table of Contents. To fill it in, right-click below and choose "Update Field" (or press F9). All headings you see through the guide are included.</w:t>
      </w:r>
    </w:p>
    <w:p>
      <w:r>
        <w:fldChar w:fldCharType="begin"/>
        <w:instrText xml:space="preserve">TOC \o "1-3" \h \z \u</w:instrText>
        <w:fldChar w:fldCharType="separate"/>
      </w:r>
      <w:r>
        <w:t>Right-click and choose "Update Field" to build the Table of Contents.</w:t>
      </w:r>
      <w:r>
        <w:fldChar w:fldCharType="end"/>
      </w:r>
    </w:p>
    <w:p>
      <w:r>
        <w:br w:type="page"/>
      </w:r>
    </w:p>
    <w:p>
      <w:pPr>
        <w:pStyle w:val="Heading1"/>
      </w:pPr>
      <w:r>
        <w:t>About EPVS</w:t>
      </w:r>
    </w:p>
    <w:p>
      <w:pPr>
        <w:pBdr>
          <w:left w:val="single" w:sz="24" w:space="8" w:color="0E7C7B"/>
        </w:pBdr>
        <w:ind w:left="170"/>
      </w:pPr>
      <w:r>
        <w:rPr>
          <w:b/>
          <w:color w:val="0E7C7B"/>
          <w:sz w:val="18"/>
        </w:rPr>
        <w:t xml:space="preserve">IN THIS SECTION  </w:t>
      </w:r>
      <w:r>
        <w:rPr>
          <w:i/>
          <w:color w:val="1F2937"/>
          <w:sz w:val="20"/>
        </w:rPr>
        <w:t>What the platform is, who uses it, and where you fit in.</w:t>
      </w:r>
    </w:p>
    <w:p>
      <w:r>
        <w:rPr>
          <w:color w:val="374151"/>
          <w:sz w:val="21"/>
        </w:rPr>
        <w:t>EPVS manages the statutory levy owed on graded eggs, pulp, and egg powder across every registered facility. Facilities submit monthly EPVs, inspectors verify them, and ALS invoices and reconciles payment. This manual walks through everything the current role can do.</w:t>
      </w:r>
    </w:p>
    <w:p>
      <w:r>
        <w:rPr>
          <w:color w:val="374151"/>
          <w:sz w:val="21"/>
        </w:rPr>
        <w:t>The five moving parts:</w:t>
      </w:r>
    </w:p>
    <w:p>
      <w:pPr>
        <w:pStyle w:val="ListBullet"/>
      </w:pPr>
      <w:r>
        <w:rPr>
          <w:color w:val="374151"/>
          <w:sz w:val="21"/>
        </w:rPr>
        <w:t>Facilities submit their monthly EPV.</w:t>
      </w:r>
    </w:p>
    <w:p>
      <w:pPr>
        <w:pStyle w:val="ListBullet"/>
      </w:pPr>
      <w:r>
        <w:rPr>
          <w:color w:val="374151"/>
          <w:sz w:val="21"/>
        </w:rPr>
        <w:t>Inspectors approve or capture a revised set of figures.</w:t>
      </w:r>
    </w:p>
    <w:p>
      <w:pPr>
        <w:pStyle w:val="ListBullet"/>
      </w:pPr>
      <w:r>
        <w:rPr>
          <w:color w:val="374151"/>
          <w:sz w:val="21"/>
        </w:rPr>
        <w:t>ALS invoices and records payment.</w:t>
      </w:r>
    </w:p>
    <w:p>
      <w:pPr>
        <w:pStyle w:val="ListBullet"/>
      </w:pPr>
      <w:r>
        <w:rPr>
          <w:color w:val="374151"/>
          <w:sz w:val="21"/>
        </w:rPr>
        <w:t>Administrators and Super Admins oversee the whole cycle.</w:t>
      </w:r>
    </w:p>
    <w:p>
      <w:pPr>
        <w:pStyle w:val="ListBullet"/>
      </w:pPr>
      <w:r>
        <w:rPr>
          <w:color w:val="374151"/>
          <w:sz w:val="21"/>
        </w:rPr>
        <w:t>The system does the arithmetic, schedules issuance, and logs everything.</w:t>
      </w:r>
    </w:p>
    <w:p>
      <w:r>
        <w:br w:type="page"/>
      </w:r>
    </w:p>
    <w:p>
      <w:pPr>
        <w:pStyle w:val="Heading1"/>
      </w:pPr>
      <w:r>
        <w:t>Logging in and getting oriented</w:t>
      </w:r>
    </w:p>
    <w:p>
      <w:pPr>
        <w:pBdr>
          <w:left w:val="single" w:sz="24" w:space="8" w:color="0E7C7B"/>
        </w:pBdr>
        <w:ind w:left="170"/>
      </w:pPr>
      <w:r>
        <w:rPr>
          <w:b/>
          <w:color w:val="0E7C7B"/>
          <w:sz w:val="18"/>
        </w:rPr>
        <w:t xml:space="preserve">IN THIS SECTION  </w:t>
      </w:r>
      <w:r>
        <w:rPr>
          <w:i/>
          <w:color w:val="1F2937"/>
          <w:sz w:val="20"/>
        </w:rPr>
        <w:t>What you see the moment you log in.</w:t>
      </w:r>
    </w:p>
    <w:p>
      <w:r>
        <w:rPr>
          <w:color w:val="374151"/>
          <w:sz w:val="21"/>
        </w:rPr>
        <w:t>You land directly on the ALS Collections page. It is your primary worksurface. The top ribbon also shows Company Overview (read-only across facilities), Support, and your own Settings.</w:t>
      </w:r>
    </w:p>
    <w:p>
      <w:pPr>
        <w:shd w:val="clear" w:color="auto" w:fill="DBEAFE"/>
        <w:spacing w:before="120" w:after="120"/>
        <w:ind w:left="170" w:right="170"/>
      </w:pPr>
      <w:r>
        <w:rPr>
          <w:b/>
          <w:color w:val="1E40AF"/>
          <w:sz w:val="18"/>
        </w:rPr>
        <w:t xml:space="preserve">NOTE  </w:t>
      </w:r>
      <w:r>
        <w:rPr>
          <w:color w:val="1F2937"/>
          <w:sz w:val="20"/>
        </w:rPr>
        <w:t>Only ALS users and Super Administrators can access the ALS Collections page. Every other role is redirected elsewhere on login.</w:t>
      </w:r>
    </w:p>
    <w:p>
      <w:r>
        <w:br w:type="page"/>
      </w:r>
    </w:p>
    <w:p>
      <w:pPr>
        <w:pStyle w:val="Heading1"/>
      </w:pPr>
      <w:r>
        <w:t>The ALS Collections page</w:t>
      </w:r>
    </w:p>
    <w:p>
      <w:pPr>
        <w:pBdr>
          <w:left w:val="single" w:sz="24" w:space="8" w:color="0E7C7B"/>
        </w:pBdr>
        <w:ind w:left="170"/>
      </w:pPr>
      <w:r>
        <w:rPr>
          <w:b/>
          <w:color w:val="0E7C7B"/>
          <w:sz w:val="18"/>
        </w:rPr>
        <w:t xml:space="preserve">IN THIS SECTION  </w:t>
      </w:r>
      <w:r>
        <w:rPr>
          <w:i/>
          <w:color w:val="1F2937"/>
          <w:sz w:val="20"/>
        </w:rPr>
        <w:t>What appears here, and why nothing else does.</w:t>
      </w:r>
    </w:p>
    <w:p>
      <w:pPr>
        <w:pStyle w:val="Heading2"/>
      </w:pPr>
      <w:r>
        <w:t>What appears in the worklist</w:t>
      </w:r>
    </w:p>
    <w:p>
      <w:r>
        <w:rPr>
          <w:color w:val="374151"/>
          <w:sz w:val="21"/>
        </w:rPr>
        <w:t>Only EPVs that have been inspection-cleared appear. An EPV shows up in one of two states:</w:t>
      </w:r>
    </w:p>
    <w:tbl>
      <w:tblPr>
        <w:tblW w:type="auto" w:w="0"/>
        <w:jc w:val="left"/>
        <w:tblLook w:firstColumn="1" w:firstRow="1" w:lastColumn="0" w:lastRow="0" w:noHBand="0" w:noVBand="1" w:val="04A0"/>
        <w:tblBorders>
          <w:top w:val="single" w:sz="4" w:color="D1D5DB"/>
          <w:left w:val="single" w:sz="4" w:color="D1D5DB"/>
          <w:bottom w:val="single" w:sz="4" w:color="D1D5DB"/>
          <w:right w:val="single" w:sz="4" w:color="D1D5DB"/>
          <w:insideH w:val="single" w:sz="4" w:color="D1D5DB"/>
          <w:insideV w:val="single" w:sz="4" w:color="D1D5DB"/>
        </w:tblBorders>
      </w:tblPr>
      <w:tblGrid>
        <w:gridCol w:w="3249"/>
        <w:gridCol w:w="3249"/>
        <w:gridCol w:w="3249"/>
      </w:tblGrid>
      <w:tr>
        <w:tc>
          <w:tcPr>
            <w:tcW w:type="dxa" w:w="3249"/>
            <w:shd w:val="clear" w:color="auto" w:fill="0E7C7B"/>
          </w:tcPr>
          <w:p>
            <w:pPr>
              <w:spacing w:before="40" w:after="40"/>
            </w:pPr>
            <w:r>
              <w:rPr>
                <w:b/>
                <w:color w:val="FFFFFF"/>
                <w:sz w:val="20"/>
              </w:rPr>
              <w:t>State</w:t>
            </w:r>
          </w:p>
        </w:tc>
        <w:tc>
          <w:tcPr>
            <w:tcW w:type="dxa" w:w="3249"/>
            <w:shd w:val="clear" w:color="auto" w:fill="0E7C7B"/>
          </w:tcPr>
          <w:p>
            <w:pPr>
              <w:spacing w:before="40" w:after="40"/>
            </w:pPr>
            <w:r>
              <w:rPr>
                <w:b/>
                <w:color w:val="FFFFFF"/>
                <w:sz w:val="20"/>
              </w:rPr>
              <w:t>What it means</w:t>
            </w:r>
          </w:p>
        </w:tc>
        <w:tc>
          <w:tcPr>
            <w:tcW w:type="dxa" w:w="3249"/>
            <w:shd w:val="clear" w:color="auto" w:fill="0E7C7B"/>
          </w:tcPr>
          <w:p>
            <w:pPr>
              <w:spacing w:before="40" w:after="40"/>
            </w:pPr>
            <w:r>
              <w:rPr>
                <w:b/>
                <w:color w:val="FFFFFF"/>
                <w:sz w:val="20"/>
              </w:rPr>
              <w:t>Invoice amount</w:t>
            </w:r>
          </w:p>
        </w:tc>
      </w:tr>
      <w:tr>
        <w:tc>
          <w:tcPr>
            <w:tcW w:type="dxa" w:w="3249"/>
          </w:tcPr>
          <w:p>
            <w:pPr>
              <w:spacing w:before="40" w:after="40"/>
            </w:pPr>
            <w:r>
              <w:rPr>
                <w:color w:val="374151"/>
                <w:sz w:val="19"/>
              </w:rPr>
              <w:t>Approved</w:t>
            </w:r>
          </w:p>
        </w:tc>
        <w:tc>
          <w:tcPr>
            <w:tcW w:type="dxa" w:w="3249"/>
          </w:tcPr>
          <w:p>
            <w:pPr>
              <w:spacing w:before="40" w:after="40"/>
            </w:pPr>
            <w:r>
              <w:rPr>
                <w:color w:val="374151"/>
                <w:sz w:val="19"/>
              </w:rPr>
              <w:t>Inspector approved the facility's submitted figures.</w:t>
            </w:r>
          </w:p>
        </w:tc>
        <w:tc>
          <w:tcPr>
            <w:tcW w:type="dxa" w:w="3249"/>
          </w:tcPr>
          <w:p>
            <w:pPr>
              <w:spacing w:before="40" w:after="40"/>
            </w:pPr>
            <w:r>
              <w:rPr>
                <w:color w:val="374151"/>
                <w:sz w:val="19"/>
              </w:rPr>
              <w:t>Facility's Egg + Pulp + Powder levies.</w:t>
            </w:r>
          </w:p>
        </w:tc>
      </w:tr>
      <w:tr>
        <w:tc>
          <w:tcPr>
            <w:tcW w:type="dxa" w:w="3249"/>
            <w:shd w:val="clear" w:color="auto" w:fill="F3F4F6"/>
          </w:tcPr>
          <w:p>
            <w:pPr>
              <w:spacing w:before="40" w:after="40"/>
            </w:pPr>
            <w:r>
              <w:rPr>
                <w:color w:val="374151"/>
                <w:sz w:val="19"/>
              </w:rPr>
              <w:t>Rejected → Insp</w:t>
            </w:r>
          </w:p>
        </w:tc>
        <w:tc>
          <w:tcPr>
            <w:tcW w:type="dxa" w:w="3249"/>
            <w:shd w:val="clear" w:color="auto" w:fill="F3F4F6"/>
          </w:tcPr>
          <w:p>
            <w:pPr>
              <w:spacing w:before="40" w:after="40"/>
            </w:pPr>
            <w:r>
              <w:rPr>
                <w:color w:val="374151"/>
                <w:sz w:val="19"/>
              </w:rPr>
              <w:t>Inspector rejected the facility's figures and captured a revised set.</w:t>
            </w:r>
          </w:p>
        </w:tc>
        <w:tc>
          <w:tcPr>
            <w:tcW w:type="dxa" w:w="3249"/>
            <w:shd w:val="clear" w:color="auto" w:fill="F3F4F6"/>
          </w:tcPr>
          <w:p>
            <w:pPr>
              <w:spacing w:before="40" w:after="40"/>
            </w:pPr>
            <w:r>
              <w:rPr>
                <w:color w:val="374151"/>
                <w:sz w:val="19"/>
              </w:rPr>
              <w:t>Inspector's Egg + Pulp + Powder levies.</w:t>
            </w:r>
          </w:p>
        </w:tc>
      </w:tr>
    </w:tbl>
    <w:p/>
    <w:p>
      <w:pPr>
        <w:shd w:val="clear" w:color="auto" w:fill="D1FAE5"/>
        <w:spacing w:before="120" w:after="120"/>
        <w:ind w:left="170" w:right="170"/>
      </w:pPr>
      <w:r>
        <w:rPr>
          <w:b/>
          <w:color w:val="047857"/>
          <w:sz w:val="18"/>
        </w:rPr>
        <w:t xml:space="preserve">TIP  </w:t>
      </w:r>
      <w:r>
        <w:rPr>
          <w:color w:val="1F2937"/>
          <w:sz w:val="20"/>
        </w:rPr>
        <w:t>EPVs still waiting on the inspector are deliberately hidden — you only see EPVs you can act on today.</w:t>
      </w:r>
    </w:p>
    <w:p>
      <w:pPr>
        <w:pStyle w:val="Heading2"/>
      </w:pPr>
      <w:r>
        <w:t>The KPI ribbon</w:t>
      </w:r>
    </w:p>
    <w:tbl>
      <w:tblPr>
        <w:tblW w:type="auto" w:w="0"/>
        <w:jc w:val="left"/>
        <w:tblLook w:firstColumn="1" w:firstRow="1" w:lastColumn="0" w:lastRow="0" w:noHBand="0" w:noVBand="1" w:val="04A0"/>
        <w:tblBorders>
          <w:top w:val="single" w:sz="4" w:color="D1D5DB"/>
          <w:left w:val="single" w:sz="4" w:color="D1D5DB"/>
          <w:bottom w:val="single" w:sz="4" w:color="D1D5DB"/>
          <w:right w:val="single" w:sz="4" w:color="D1D5DB"/>
          <w:insideH w:val="single" w:sz="4" w:color="D1D5DB"/>
          <w:insideV w:val="single" w:sz="4" w:color="D1D5DB"/>
        </w:tblBorders>
      </w:tblPr>
      <w:tblGrid>
        <w:gridCol w:w="4873"/>
        <w:gridCol w:w="4873"/>
      </w:tblGrid>
      <w:tr>
        <w:tc>
          <w:tcPr>
            <w:tcW w:type="dxa" w:w="4873"/>
            <w:shd w:val="clear" w:color="auto" w:fill="0E7C7B"/>
          </w:tcPr>
          <w:p>
            <w:pPr>
              <w:spacing w:before="40" w:after="40"/>
            </w:pPr>
            <w:r>
              <w:rPr>
                <w:b/>
                <w:color w:val="FFFFFF"/>
                <w:sz w:val="20"/>
              </w:rPr>
              <w:t>KPI</w:t>
            </w:r>
          </w:p>
        </w:tc>
        <w:tc>
          <w:tcPr>
            <w:tcW w:type="dxa" w:w="4873"/>
            <w:shd w:val="clear" w:color="auto" w:fill="0E7C7B"/>
          </w:tcPr>
          <w:p>
            <w:pPr>
              <w:spacing w:before="40" w:after="40"/>
            </w:pPr>
            <w:r>
              <w:rPr>
                <w:b/>
                <w:color w:val="FFFFFF"/>
                <w:sz w:val="20"/>
              </w:rPr>
              <w:t>Meaning</w:t>
            </w:r>
          </w:p>
        </w:tc>
      </w:tr>
      <w:tr>
        <w:tc>
          <w:tcPr>
            <w:tcW w:type="dxa" w:w="4873"/>
          </w:tcPr>
          <w:p>
            <w:pPr>
              <w:spacing w:before="40" w:after="40"/>
            </w:pPr>
            <w:r>
              <w:rPr>
                <w:color w:val="374151"/>
                <w:sz w:val="19"/>
              </w:rPr>
              <w:t>Invoiceable</w:t>
            </w:r>
          </w:p>
        </w:tc>
        <w:tc>
          <w:tcPr>
            <w:tcW w:type="dxa" w:w="4873"/>
          </w:tcPr>
          <w:p>
            <w:pPr>
              <w:spacing w:before="40" w:after="40"/>
            </w:pPr>
            <w:r>
              <w:rPr>
                <w:color w:val="374151"/>
                <w:sz w:val="19"/>
              </w:rPr>
              <w:t>Total EPVs waiting to be invoiced.</w:t>
            </w:r>
          </w:p>
        </w:tc>
      </w:tr>
      <w:tr>
        <w:tc>
          <w:tcPr>
            <w:tcW w:type="dxa" w:w="4873"/>
            <w:shd w:val="clear" w:color="auto" w:fill="F3F4F6"/>
          </w:tcPr>
          <w:p>
            <w:pPr>
              <w:spacing w:before="40" w:after="40"/>
            </w:pPr>
            <w:r>
              <w:rPr>
                <w:color w:val="374151"/>
                <w:sz w:val="19"/>
              </w:rPr>
              <w:t>Invoices Sent</w:t>
            </w:r>
          </w:p>
        </w:tc>
        <w:tc>
          <w:tcPr>
            <w:tcW w:type="dxa" w:w="4873"/>
            <w:shd w:val="clear" w:color="auto" w:fill="F3F4F6"/>
          </w:tcPr>
          <w:p>
            <w:pPr>
              <w:spacing w:before="40" w:after="40"/>
            </w:pPr>
            <w:r>
              <w:rPr>
                <w:color w:val="374151"/>
                <w:sz w:val="19"/>
              </w:rPr>
              <w:t>How many have been marked "sent".</w:t>
            </w:r>
          </w:p>
        </w:tc>
      </w:tr>
      <w:tr>
        <w:tc>
          <w:tcPr>
            <w:tcW w:type="dxa" w:w="4873"/>
          </w:tcPr>
          <w:p>
            <w:pPr>
              <w:spacing w:before="40" w:after="40"/>
            </w:pPr>
            <w:r>
              <w:rPr>
                <w:color w:val="374151"/>
                <w:sz w:val="19"/>
              </w:rPr>
              <w:t>Reconciled</w:t>
            </w:r>
          </w:p>
        </w:tc>
        <w:tc>
          <w:tcPr>
            <w:tcW w:type="dxa" w:w="4873"/>
          </w:tcPr>
          <w:p>
            <w:pPr>
              <w:spacing w:before="40" w:after="40"/>
            </w:pPr>
            <w:r>
              <w:rPr>
                <w:color w:val="374151"/>
                <w:sz w:val="19"/>
              </w:rPr>
              <w:t>How many have been marked as paid.</w:t>
            </w:r>
          </w:p>
        </w:tc>
      </w:tr>
      <w:tr>
        <w:tc>
          <w:tcPr>
            <w:tcW w:type="dxa" w:w="4873"/>
            <w:shd w:val="clear" w:color="auto" w:fill="F3F4F6"/>
          </w:tcPr>
          <w:p>
            <w:pPr>
              <w:spacing w:before="40" w:after="40"/>
            </w:pPr>
            <w:r>
              <w:rPr>
                <w:color w:val="374151"/>
                <w:sz w:val="19"/>
              </w:rPr>
              <w:t>Total Billable</w:t>
            </w:r>
          </w:p>
        </w:tc>
        <w:tc>
          <w:tcPr>
            <w:tcW w:type="dxa" w:w="4873"/>
            <w:shd w:val="clear" w:color="auto" w:fill="F3F4F6"/>
          </w:tcPr>
          <w:p>
            <w:pPr>
              <w:spacing w:before="40" w:after="40"/>
            </w:pPr>
            <w:r>
              <w:rPr>
                <w:color w:val="374151"/>
                <w:sz w:val="19"/>
              </w:rPr>
              <w:t>What you should collect for the filter.</w:t>
            </w:r>
          </w:p>
        </w:tc>
      </w:tr>
      <w:tr>
        <w:tc>
          <w:tcPr>
            <w:tcW w:type="dxa" w:w="4873"/>
          </w:tcPr>
          <w:p>
            <w:pPr>
              <w:spacing w:before="40" w:after="40"/>
            </w:pPr>
            <w:r>
              <w:rPr>
                <w:color w:val="374151"/>
                <w:sz w:val="19"/>
              </w:rPr>
              <w:t>Total Collected</w:t>
            </w:r>
          </w:p>
        </w:tc>
        <w:tc>
          <w:tcPr>
            <w:tcW w:type="dxa" w:w="4873"/>
          </w:tcPr>
          <w:p>
            <w:pPr>
              <w:spacing w:before="40" w:after="40"/>
            </w:pPr>
            <w:r>
              <w:rPr>
                <w:color w:val="374151"/>
                <w:sz w:val="19"/>
              </w:rPr>
              <w:t>What has been received (matches ReconciledAmount).</w:t>
            </w:r>
          </w:p>
        </w:tc>
      </w:tr>
      <w:tr>
        <w:tc>
          <w:tcPr>
            <w:tcW w:type="dxa" w:w="4873"/>
            <w:shd w:val="clear" w:color="auto" w:fill="F3F4F6"/>
          </w:tcPr>
          <w:p>
            <w:pPr>
              <w:spacing w:before="40" w:after="40"/>
            </w:pPr>
            <w:r>
              <w:rPr>
                <w:color w:val="374151"/>
                <w:sz w:val="19"/>
              </w:rPr>
              <w:t>Outstanding</w:t>
            </w:r>
          </w:p>
        </w:tc>
        <w:tc>
          <w:tcPr>
            <w:tcW w:type="dxa" w:w="4873"/>
            <w:shd w:val="clear" w:color="auto" w:fill="F3F4F6"/>
          </w:tcPr>
          <w:p>
            <w:pPr>
              <w:spacing w:before="40" w:after="40"/>
            </w:pPr>
            <w:r>
              <w:rPr>
                <w:color w:val="374151"/>
                <w:sz w:val="19"/>
              </w:rPr>
              <w:t>Billable − Collected.</w:t>
            </w:r>
          </w:p>
        </w:tc>
      </w:tr>
      <w:tr>
        <w:tc>
          <w:tcPr>
            <w:tcW w:type="dxa" w:w="4873"/>
          </w:tcPr>
          <w:p>
            <w:pPr>
              <w:spacing w:before="40" w:after="40"/>
            </w:pPr>
            <w:r>
              <w:rPr>
                <w:color w:val="374151"/>
                <w:sz w:val="19"/>
              </w:rPr>
              <w:t>Collection Rate</w:t>
            </w:r>
          </w:p>
        </w:tc>
        <w:tc>
          <w:tcPr>
            <w:tcW w:type="dxa" w:w="4873"/>
          </w:tcPr>
          <w:p>
            <w:pPr>
              <w:spacing w:before="40" w:after="40"/>
            </w:pPr>
            <w:r>
              <w:rPr>
                <w:color w:val="374151"/>
                <w:sz w:val="19"/>
              </w:rPr>
              <w:t>Collected / Billable as a percentage.</w:t>
            </w:r>
          </w:p>
        </w:tc>
      </w:tr>
    </w:tbl>
    <w:p/>
    <w:p>
      <w:r>
        <w:br w:type="page"/>
      </w:r>
    </w:p>
    <w:p>
      <w:pPr>
        <w:pStyle w:val="Heading1"/>
      </w:pPr>
      <w:r>
        <w:t>Filtering the worklist</w:t>
      </w:r>
    </w:p>
    <w:p>
      <w:pPr>
        <w:pBdr>
          <w:left w:val="single" w:sz="24" w:space="8" w:color="0E7C7B"/>
        </w:pBdr>
        <w:ind w:left="170"/>
      </w:pPr>
      <w:r>
        <w:rPr>
          <w:b/>
          <w:color w:val="0E7C7B"/>
          <w:sz w:val="18"/>
        </w:rPr>
        <w:t xml:space="preserve">IN THIS SECTION  </w:t>
      </w:r>
      <w:r>
        <w:rPr>
          <w:i/>
          <w:color w:val="1F2937"/>
          <w:sz w:val="20"/>
        </w:rPr>
        <w:t>Slicing the list to focus on what matters right now.</w:t>
      </w:r>
    </w:p>
    <w:p>
      <w:r>
        <w:rPr>
          <w:color w:val="374151"/>
          <w:sz w:val="21"/>
        </w:rPr>
        <w:t>The filter bar above the table gives you six controls:</w:t>
      </w:r>
    </w:p>
    <w:p>
      <w:pPr>
        <w:pStyle w:val="ListBullet"/>
      </w:pPr>
      <w:r>
        <w:rPr>
          <w:color w:val="374151"/>
          <w:sz w:val="21"/>
        </w:rPr>
        <w:t>Free-text search — facility name, account code, or reference number.</w:t>
      </w:r>
    </w:p>
    <w:p>
      <w:pPr>
        <w:pStyle w:val="ListBullet"/>
      </w:pPr>
      <w:r>
        <w:rPr>
          <w:color w:val="374151"/>
          <w:sz w:val="21"/>
        </w:rPr>
        <w:t>Year and Month — restrict to a specific period.</w:t>
      </w:r>
    </w:p>
    <w:p>
      <w:pPr>
        <w:pStyle w:val="ListBullet"/>
      </w:pPr>
      <w:r>
        <w:rPr>
          <w:color w:val="374151"/>
          <w:sz w:val="21"/>
        </w:rPr>
        <w:t>Approvals — Approved only, Rejected only, or All.</w:t>
      </w:r>
    </w:p>
    <w:p>
      <w:pPr>
        <w:pStyle w:val="ListBullet"/>
      </w:pPr>
      <w:r>
        <w:rPr>
          <w:color w:val="374151"/>
          <w:sz w:val="21"/>
        </w:rPr>
        <w:t>Invoices — Sent, Not sent, or All.</w:t>
      </w:r>
    </w:p>
    <w:p>
      <w:pPr>
        <w:pStyle w:val="ListBullet"/>
      </w:pPr>
      <w:r>
        <w:rPr>
          <w:color w:val="374151"/>
          <w:sz w:val="21"/>
        </w:rPr>
        <w:t>Payments — Reconciled, Unreconciled, or All.</w:t>
      </w:r>
    </w:p>
    <w:p>
      <w:r>
        <w:rPr>
          <w:color w:val="374151"/>
          <w:sz w:val="21"/>
        </w:rPr>
        <w:t>The KPI ribbon and the Excel export both honour whatever filters you have on.</w:t>
      </w:r>
    </w:p>
    <w:p>
      <w:r>
        <w:br w:type="page"/>
      </w:r>
    </w:p>
    <w:p>
      <w:pPr>
        <w:pStyle w:val="Heading1"/>
      </w:pPr>
      <w:r>
        <w:t>The expanded row</w:t>
      </w:r>
    </w:p>
    <w:p>
      <w:pPr>
        <w:pBdr>
          <w:left w:val="single" w:sz="24" w:space="8" w:color="0E7C7B"/>
        </w:pBdr>
        <w:ind w:left="170"/>
      </w:pPr>
      <w:r>
        <w:rPr>
          <w:b/>
          <w:color w:val="0E7C7B"/>
          <w:sz w:val="18"/>
        </w:rPr>
        <w:t xml:space="preserve">IN THIS SECTION  </w:t>
      </w:r>
      <w:r>
        <w:rPr>
          <w:i/>
          <w:color w:val="1F2937"/>
          <w:sz w:val="20"/>
        </w:rPr>
        <w:t>Click any row to reveal the full worksurface for that EPV.</w:t>
      </w:r>
    </w:p>
    <w:p>
      <w:r>
        <w:rPr>
          <w:color w:val="374151"/>
          <w:sz w:val="21"/>
        </w:rPr>
        <w:t>The expanded panel has four columns:</w:t>
      </w:r>
    </w:p>
    <w:p>
      <w:pPr>
        <w:pStyle w:val="Heading2"/>
      </w:pPr>
      <w:r>
        <w:t>Amount breakdown</w:t>
      </w:r>
    </w:p>
    <w:p>
      <w:r>
        <w:rPr>
          <w:color w:val="374151"/>
          <w:sz w:val="21"/>
        </w:rPr>
        <w:t>Facility figures, Inspector figures (if any), and the resolved invoice amount. If the inspector rejected the facility, this is where you see both sets of numbers side by side.</w:t>
      </w:r>
    </w:p>
    <w:p>
      <w:pPr>
        <w:pStyle w:val="Heading2"/>
      </w:pPr>
      <w:r>
        <w:t>ALS invoice PDF</w:t>
      </w:r>
    </w:p>
    <w:p>
      <w:r>
        <w:rPr>
          <w:color w:val="374151"/>
          <w:sz w:val="21"/>
        </w:rPr>
        <w:t>Upload, view, or remove your invoice. PDF / PNG / JPG, up to 15 MB. Uploading a new file replaces the previous one. Removed files are deleted from disk immediately.</w:t>
      </w:r>
    </w:p>
    <w:p>
      <w:pPr>
        <w:pStyle w:val="Heading2"/>
      </w:pPr>
      <w:r>
        <w:t>Payment</w:t>
      </w:r>
    </w:p>
    <w:p>
      <w:r>
        <w:rPr>
          <w:color w:val="374151"/>
          <w:sz w:val="21"/>
        </w:rPr>
        <w:t>Amount owed at the top. Below: link to the facility POP if they uploaded one, then the reconcile controls (amount received + Mark paid button).</w:t>
      </w:r>
    </w:p>
    <w:p>
      <w:pPr>
        <w:pStyle w:val="Heading2"/>
      </w:pPr>
      <w:r>
        <w:t>ALS comment</w:t>
      </w:r>
    </w:p>
    <w:p>
      <w:r>
        <w:rPr>
          <w:color w:val="374151"/>
          <w:sz w:val="21"/>
        </w:rPr>
        <w:t>Free text, visible to ALS and Super Admins. Use it as your working log for the EPV — chase reminders, call notes, escalation status.</w:t>
      </w:r>
    </w:p>
    <w:p>
      <w:r>
        <w:br w:type="page"/>
      </w:r>
    </w:p>
    <w:p>
      <w:pPr>
        <w:pStyle w:val="Heading1"/>
      </w:pPr>
      <w:r>
        <w:t>Marking an invoice as sent</w:t>
      </w:r>
    </w:p>
    <w:p>
      <w:pPr>
        <w:pBdr>
          <w:left w:val="single" w:sz="24" w:space="8" w:color="0E7C7B"/>
        </w:pBdr>
        <w:ind w:left="170"/>
      </w:pPr>
      <w:r>
        <w:rPr>
          <w:b/>
          <w:color w:val="0E7C7B"/>
          <w:sz w:val="18"/>
        </w:rPr>
        <w:t xml:space="preserve">IN THIS SECTION  </w:t>
      </w:r>
      <w:r>
        <w:rPr>
          <w:i/>
          <w:color w:val="1F2937"/>
          <w:sz w:val="20"/>
        </w:rPr>
        <w:t>When you've dispatched the invoice from your billing system.</w:t>
      </w:r>
    </w:p>
    <w:p>
      <w:r>
        <w:rPr>
          <w:color w:val="374151"/>
          <w:sz w:val="21"/>
        </w:rPr>
        <w:t>Tick the "Invoice Sent" checkbox on the row. The system records the timestamp and who marked it. The facility sees a "Levy Invoice from ALS" panel appear inside their Company Overview the moment you upload the PDF (below).</w:t>
      </w:r>
    </w:p>
    <w:p>
      <w:r>
        <w:br w:type="page"/>
      </w:r>
    </w:p>
    <w:p>
      <w:pPr>
        <w:pStyle w:val="Heading1"/>
      </w:pPr>
      <w:r>
        <w:t>Uploading your invoice PDF</w:t>
      </w:r>
    </w:p>
    <w:p>
      <w:pPr>
        <w:pBdr>
          <w:left w:val="single" w:sz="24" w:space="8" w:color="0E7C7B"/>
        </w:pBdr>
        <w:ind w:left="170"/>
      </w:pPr>
      <w:r>
        <w:rPr>
          <w:b/>
          <w:color w:val="0E7C7B"/>
          <w:sz w:val="18"/>
        </w:rPr>
        <w:t xml:space="preserve">IN THIS SECTION  </w:t>
      </w:r>
      <w:r>
        <w:rPr>
          <w:i/>
          <w:color w:val="1F2937"/>
          <w:sz w:val="20"/>
        </w:rPr>
        <w:t>Making the invoice visible to the facility.</w:t>
      </w:r>
    </w:p>
    <w:p>
      <w:r>
        <w:rPr>
          <w:b/>
          <w:color w:val="0A5C5B"/>
          <w:sz w:val="21"/>
        </w:rPr>
        <w:t xml:space="preserve">  1.  </w:t>
      </w:r>
      <w:r>
        <w:rPr>
          <w:color w:val="374151"/>
          <w:sz w:val="21"/>
        </w:rPr>
        <w:t>Expand the EPV row.</w:t>
      </w:r>
    </w:p>
    <w:p>
      <w:r>
        <w:rPr>
          <w:b/>
          <w:color w:val="0A5C5B"/>
          <w:sz w:val="21"/>
        </w:rPr>
        <w:t xml:space="preserve">  2.  </w:t>
      </w:r>
      <w:r>
        <w:rPr>
          <w:color w:val="374151"/>
          <w:sz w:val="21"/>
        </w:rPr>
        <w:t>Click "Upload invoice" in the ALS invoice PDF column.</w:t>
      </w:r>
    </w:p>
    <w:p>
      <w:r>
        <w:rPr>
          <w:b/>
          <w:color w:val="0A5C5B"/>
          <w:sz w:val="21"/>
        </w:rPr>
        <w:t xml:space="preserve">  3.  </w:t>
      </w:r>
      <w:r>
        <w:rPr>
          <w:color w:val="374151"/>
          <w:sz w:val="21"/>
        </w:rPr>
        <w:t>Pick a PDF, PNG, or JPG up to 15 MB.</w:t>
      </w:r>
    </w:p>
    <w:p>
      <w:r>
        <w:rPr>
          <w:b/>
          <w:color w:val="0A5C5B"/>
          <w:sz w:val="21"/>
        </w:rPr>
        <w:t xml:space="preserve">  4.  </w:t>
      </w:r>
      <w:r>
        <w:rPr>
          <w:color w:val="374151"/>
          <w:sz w:val="21"/>
        </w:rPr>
        <w:t>The uploaded file is visible immediately in the row (View link) and inside the facility's Company Overview.</w:t>
      </w:r>
    </w:p>
    <w:p>
      <w:pPr>
        <w:shd w:val="clear" w:color="auto" w:fill="D1FAE5"/>
        <w:spacing w:before="120" w:after="120"/>
        <w:ind w:left="170" w:right="170"/>
      </w:pPr>
      <w:r>
        <w:rPr>
          <w:b/>
          <w:color w:val="047857"/>
          <w:sz w:val="18"/>
        </w:rPr>
        <w:t xml:space="preserve">TIP  </w:t>
      </w:r>
      <w:r>
        <w:rPr>
          <w:color w:val="1F2937"/>
          <w:sz w:val="20"/>
        </w:rPr>
        <w:t>Use consistent file naming — e.g. "ALS-INV-{ref}.pdf". Makes reconciliation later much easier for both sides.</w:t>
      </w:r>
    </w:p>
    <w:p>
      <w:r>
        <w:br w:type="page"/>
      </w:r>
    </w:p>
    <w:p>
      <w:pPr>
        <w:pStyle w:val="Heading1"/>
      </w:pPr>
      <w:r>
        <w:t>Reconciling a payment</w:t>
      </w:r>
    </w:p>
    <w:p>
      <w:pPr>
        <w:pBdr>
          <w:left w:val="single" w:sz="24" w:space="8" w:color="0E7C7B"/>
        </w:pBdr>
        <w:ind w:left="170"/>
      </w:pPr>
      <w:r>
        <w:rPr>
          <w:b/>
          <w:color w:val="0E7C7B"/>
          <w:sz w:val="18"/>
        </w:rPr>
        <w:t xml:space="preserve">IN THIS SECTION  </w:t>
      </w:r>
      <w:r>
        <w:rPr>
          <w:i/>
          <w:color w:val="1F2937"/>
          <w:sz w:val="20"/>
        </w:rPr>
        <w:t>When money lands and needs to be matched to an EPV.</w:t>
      </w:r>
    </w:p>
    <w:p>
      <w:r>
        <w:rPr>
          <w:color w:val="374151"/>
          <w:sz w:val="21"/>
        </w:rPr>
        <w:t>Reconciliation writes to the shared reconciled fields the whole system already uses — nothing lives in an ALS-only silo. Once you reconcile, the Dashboard, Administrators tab, and Company Overview all reflect it automatically.</w:t>
      </w:r>
    </w:p>
    <w:p>
      <w:pPr>
        <w:pStyle w:val="Heading2"/>
      </w:pPr>
      <w:r>
        <w:t>A full payment</w:t>
      </w:r>
    </w:p>
    <w:p>
      <w:r>
        <w:rPr>
          <w:b/>
          <w:color w:val="0A5C5B"/>
          <w:sz w:val="21"/>
        </w:rPr>
        <w:t xml:space="preserve">  1.  </w:t>
      </w:r>
      <w:r>
        <w:rPr>
          <w:color w:val="374151"/>
          <w:sz w:val="21"/>
        </w:rPr>
        <w:t>Expand the row.</w:t>
      </w:r>
    </w:p>
    <w:p>
      <w:r>
        <w:rPr>
          <w:b/>
          <w:color w:val="0A5C5B"/>
          <w:sz w:val="21"/>
        </w:rPr>
        <w:t xml:space="preserve">  2.  </w:t>
      </w:r>
      <w:r>
        <w:rPr>
          <w:color w:val="374151"/>
          <w:sz w:val="21"/>
        </w:rPr>
        <w:t>The amount received input pre-fills with the invoice amount.</w:t>
      </w:r>
    </w:p>
    <w:p>
      <w:r>
        <w:rPr>
          <w:b/>
          <w:color w:val="0A5C5B"/>
          <w:sz w:val="21"/>
        </w:rPr>
        <w:t xml:space="preserve">  3.  </w:t>
      </w:r>
      <w:r>
        <w:rPr>
          <w:color w:val="374151"/>
          <w:sz w:val="21"/>
        </w:rPr>
        <w:t>Click "Mark paid".</w:t>
      </w:r>
    </w:p>
    <w:p>
      <w:r>
        <w:rPr>
          <w:b/>
          <w:color w:val="0A5C5B"/>
          <w:sz w:val="21"/>
        </w:rPr>
        <w:t xml:space="preserve">  4.  </w:t>
      </w:r>
      <w:r>
        <w:rPr>
          <w:color w:val="374151"/>
          <w:sz w:val="21"/>
        </w:rPr>
        <w:t>Outstanding drops to R 0.00. The row highlights green.</w:t>
      </w:r>
    </w:p>
    <w:p>
      <w:pPr>
        <w:pStyle w:val="Heading2"/>
      </w:pPr>
      <w:r>
        <w:t>A short pay</w:t>
      </w:r>
    </w:p>
    <w:p>
      <w:r>
        <w:rPr>
          <w:b/>
          <w:color w:val="0A5C5B"/>
          <w:sz w:val="21"/>
        </w:rPr>
        <w:t xml:space="preserve">  1.  </w:t>
      </w:r>
      <w:r>
        <w:rPr>
          <w:color w:val="374151"/>
          <w:sz w:val="21"/>
        </w:rPr>
        <w:t>Expand the row.</w:t>
      </w:r>
    </w:p>
    <w:p>
      <w:r>
        <w:rPr>
          <w:b/>
          <w:color w:val="0A5C5B"/>
          <w:sz w:val="21"/>
        </w:rPr>
        <w:t xml:space="preserve">  2.  </w:t>
      </w:r>
      <w:r>
        <w:rPr>
          <w:color w:val="374151"/>
          <w:sz w:val="21"/>
        </w:rPr>
        <w:t>Type the actual amount received (e.g. 800 for an R 1000 invoice).</w:t>
      </w:r>
    </w:p>
    <w:p>
      <w:r>
        <w:rPr>
          <w:b/>
          <w:color w:val="0A5C5B"/>
          <w:sz w:val="21"/>
        </w:rPr>
        <w:t xml:space="preserve">  3.  </w:t>
      </w:r>
      <w:r>
        <w:rPr>
          <w:color w:val="374151"/>
          <w:sz w:val="21"/>
        </w:rPr>
        <w:t>Click "Mark paid" — the row is reconciled but Outstanding shows R 200.</w:t>
      </w:r>
    </w:p>
    <w:p>
      <w:r>
        <w:rPr>
          <w:b/>
          <w:color w:val="0A5C5B"/>
          <w:sz w:val="21"/>
        </w:rPr>
        <w:t xml:space="preserve">  4.  </w:t>
      </w:r>
      <w:r>
        <w:rPr>
          <w:color w:val="374151"/>
          <w:sz w:val="21"/>
        </w:rPr>
        <w:t>Follow up with the facility for the balance. Add a comment on the row so the reason is on the record.</w:t>
      </w:r>
    </w:p>
    <w:p>
      <w:pPr>
        <w:pStyle w:val="Heading2"/>
      </w:pPr>
      <w:r>
        <w:t>Reverting a reconciliation</w:t>
      </w:r>
    </w:p>
    <w:p>
      <w:r>
        <w:rPr>
          <w:color w:val="374151"/>
          <w:sz w:val="21"/>
        </w:rPr>
        <w:t>If you reconciled in error, click "Clear" to reset. Reconciled amount and the audit stamps clear together.</w:t>
      </w:r>
    </w:p>
    <w:p>
      <w:pPr>
        <w:shd w:val="clear" w:color="auto" w:fill="D1FAE5"/>
        <w:spacing w:before="120" w:after="120"/>
        <w:ind w:left="170" w:right="170"/>
      </w:pPr>
      <w:r>
        <w:rPr>
          <w:b/>
          <w:color w:val="047857"/>
          <w:sz w:val="18"/>
        </w:rPr>
        <w:t xml:space="preserve">TIP  </w:t>
      </w:r>
      <w:r>
        <w:rPr>
          <w:color w:val="1F2937"/>
          <w:sz w:val="20"/>
        </w:rPr>
        <w:t>If the facility uploaded their POP, click "View POP" first to confirm the amount before reconciling.</w:t>
      </w:r>
    </w:p>
    <w:p>
      <w:r>
        <w:br w:type="page"/>
      </w:r>
    </w:p>
    <w:p>
      <w:pPr>
        <w:pStyle w:val="Heading1"/>
      </w:pPr>
      <w:r>
        <w:t>The transparency history</w:t>
      </w:r>
    </w:p>
    <w:p>
      <w:pPr>
        <w:pBdr>
          <w:left w:val="single" w:sz="24" w:space="8" w:color="0E7C7B"/>
        </w:pBdr>
        <w:ind w:left="170"/>
      </w:pPr>
      <w:r>
        <w:rPr>
          <w:b/>
          <w:color w:val="0E7C7B"/>
          <w:sz w:val="18"/>
        </w:rPr>
        <w:t xml:space="preserve">IN THIS SECTION  </w:t>
      </w:r>
      <w:r>
        <w:rPr>
          <w:i/>
          <w:color w:val="1F2937"/>
          <w:sz w:val="20"/>
        </w:rPr>
        <w:t>A shared audit trail with Super Admins.</w:t>
      </w:r>
    </w:p>
    <w:p>
      <w:r>
        <w:rPr>
          <w:color w:val="374151"/>
          <w:sz w:val="21"/>
        </w:rPr>
        <w:t>Every action in this page is logged for both Super Admins and ALS to see. The bottom of every expanded row shows a "History · transparency log" table.</w:t>
      </w:r>
    </w:p>
    <w:tbl>
      <w:tblPr>
        <w:tblW w:type="auto" w:w="0"/>
        <w:jc w:val="left"/>
        <w:tblLook w:firstColumn="1" w:firstRow="1" w:lastColumn="0" w:lastRow="0" w:noHBand="0" w:noVBand="1" w:val="04A0"/>
        <w:tblBorders>
          <w:top w:val="single" w:sz="4" w:color="D1D5DB"/>
          <w:left w:val="single" w:sz="4" w:color="D1D5DB"/>
          <w:bottom w:val="single" w:sz="4" w:color="D1D5DB"/>
          <w:right w:val="single" w:sz="4" w:color="D1D5DB"/>
          <w:insideH w:val="single" w:sz="4" w:color="D1D5DB"/>
          <w:insideV w:val="single" w:sz="4" w:color="D1D5DB"/>
        </w:tblBorders>
      </w:tblPr>
      <w:tblGrid>
        <w:gridCol w:w="4873"/>
        <w:gridCol w:w="4873"/>
      </w:tblGrid>
      <w:tr>
        <w:tc>
          <w:tcPr>
            <w:tcW w:type="dxa" w:w="4873"/>
            <w:shd w:val="clear" w:color="auto" w:fill="0E7C7B"/>
          </w:tcPr>
          <w:p>
            <w:pPr>
              <w:spacing w:before="40" w:after="40"/>
            </w:pPr>
            <w:r>
              <w:rPr>
                <w:b/>
                <w:color w:val="FFFFFF"/>
                <w:sz w:val="20"/>
              </w:rPr>
              <w:t>Column</w:t>
            </w:r>
          </w:p>
        </w:tc>
        <w:tc>
          <w:tcPr>
            <w:tcW w:type="dxa" w:w="4873"/>
            <w:shd w:val="clear" w:color="auto" w:fill="0E7C7B"/>
          </w:tcPr>
          <w:p>
            <w:pPr>
              <w:spacing w:before="40" w:after="40"/>
            </w:pPr>
            <w:r>
              <w:rPr>
                <w:b/>
                <w:color w:val="FFFFFF"/>
                <w:sz w:val="20"/>
              </w:rPr>
              <w:t>Meaning</w:t>
            </w:r>
          </w:p>
        </w:tc>
      </w:tr>
      <w:tr>
        <w:tc>
          <w:tcPr>
            <w:tcW w:type="dxa" w:w="4873"/>
          </w:tcPr>
          <w:p>
            <w:pPr>
              <w:spacing w:before="40" w:after="40"/>
            </w:pPr>
            <w:r>
              <w:rPr>
                <w:color w:val="374151"/>
                <w:sz w:val="19"/>
              </w:rPr>
              <w:t>When</w:t>
            </w:r>
          </w:p>
        </w:tc>
        <w:tc>
          <w:tcPr>
            <w:tcW w:type="dxa" w:w="4873"/>
          </w:tcPr>
          <w:p>
            <w:pPr>
              <w:spacing w:before="40" w:after="40"/>
            </w:pPr>
            <w:r>
              <w:rPr>
                <w:color w:val="374151"/>
                <w:sz w:val="19"/>
              </w:rPr>
              <w:t>Timestamp of the action.</w:t>
            </w:r>
          </w:p>
        </w:tc>
      </w:tr>
      <w:tr>
        <w:tc>
          <w:tcPr>
            <w:tcW w:type="dxa" w:w="4873"/>
            <w:shd w:val="clear" w:color="auto" w:fill="F3F4F6"/>
          </w:tcPr>
          <w:p>
            <w:pPr>
              <w:spacing w:before="40" w:after="40"/>
            </w:pPr>
            <w:r>
              <w:rPr>
                <w:color w:val="374151"/>
                <w:sz w:val="19"/>
              </w:rPr>
              <w:t>Action</w:t>
            </w:r>
          </w:p>
        </w:tc>
        <w:tc>
          <w:tcPr>
            <w:tcW w:type="dxa" w:w="4873"/>
            <w:shd w:val="clear" w:color="auto" w:fill="F3F4F6"/>
          </w:tcPr>
          <w:p>
            <w:pPr>
              <w:spacing w:before="40" w:after="40"/>
            </w:pPr>
            <w:r>
              <w:rPr>
                <w:color w:val="374151"/>
                <w:sz w:val="19"/>
              </w:rPr>
              <w:t>Invoice Sent, Invoice Uploaded, Reconciled Payment, or Comment.</w:t>
            </w:r>
          </w:p>
        </w:tc>
      </w:tr>
      <w:tr>
        <w:tc>
          <w:tcPr>
            <w:tcW w:type="dxa" w:w="4873"/>
          </w:tcPr>
          <w:p>
            <w:pPr>
              <w:spacing w:before="40" w:after="40"/>
            </w:pPr>
            <w:r>
              <w:rPr>
                <w:color w:val="374151"/>
                <w:sz w:val="19"/>
              </w:rPr>
              <w:t>From</w:t>
            </w:r>
          </w:p>
        </w:tc>
        <w:tc>
          <w:tcPr>
            <w:tcW w:type="dxa" w:w="4873"/>
          </w:tcPr>
          <w:p>
            <w:pPr>
              <w:spacing w:before="40" w:after="40"/>
            </w:pPr>
            <w:r>
              <w:rPr>
                <w:color w:val="374151"/>
                <w:sz w:val="19"/>
              </w:rPr>
              <w:t>Value before the action.</w:t>
            </w:r>
          </w:p>
        </w:tc>
      </w:tr>
      <w:tr>
        <w:tc>
          <w:tcPr>
            <w:tcW w:type="dxa" w:w="4873"/>
            <w:shd w:val="clear" w:color="auto" w:fill="F3F4F6"/>
          </w:tcPr>
          <w:p>
            <w:pPr>
              <w:spacing w:before="40" w:after="40"/>
            </w:pPr>
            <w:r>
              <w:rPr>
                <w:color w:val="374151"/>
                <w:sz w:val="19"/>
              </w:rPr>
              <w:t>To</w:t>
            </w:r>
          </w:p>
        </w:tc>
        <w:tc>
          <w:tcPr>
            <w:tcW w:type="dxa" w:w="4873"/>
            <w:shd w:val="clear" w:color="auto" w:fill="F3F4F6"/>
          </w:tcPr>
          <w:p>
            <w:pPr>
              <w:spacing w:before="40" w:after="40"/>
            </w:pPr>
            <w:r>
              <w:rPr>
                <w:color w:val="374151"/>
                <w:sz w:val="19"/>
              </w:rPr>
              <w:t>Value after the action.</w:t>
            </w:r>
          </w:p>
        </w:tc>
      </w:tr>
      <w:tr>
        <w:tc>
          <w:tcPr>
            <w:tcW w:type="dxa" w:w="4873"/>
          </w:tcPr>
          <w:p>
            <w:pPr>
              <w:spacing w:before="40" w:after="40"/>
            </w:pPr>
            <w:r>
              <w:rPr>
                <w:color w:val="374151"/>
                <w:sz w:val="19"/>
              </w:rPr>
              <w:t>By</w:t>
            </w:r>
          </w:p>
        </w:tc>
        <w:tc>
          <w:tcPr>
            <w:tcW w:type="dxa" w:w="4873"/>
          </w:tcPr>
          <w:p>
            <w:pPr>
              <w:spacing w:before="40" w:after="40"/>
            </w:pPr>
            <w:r>
              <w:rPr>
                <w:color w:val="374151"/>
                <w:sz w:val="19"/>
              </w:rPr>
              <w:t>Who did it, with a role badge — green for ALS, indigo for Super Admin.</w:t>
            </w:r>
          </w:p>
        </w:tc>
      </w:tr>
    </w:tbl>
    <w:p/>
    <w:p>
      <w:pPr>
        <w:shd w:val="clear" w:color="auto" w:fill="DBEAFE"/>
        <w:spacing w:before="120" w:after="120"/>
        <w:ind w:left="170" w:right="170"/>
      </w:pPr>
      <w:r>
        <w:rPr>
          <w:b/>
          <w:color w:val="1E40AF"/>
          <w:sz w:val="18"/>
        </w:rPr>
        <w:t xml:space="preserve">NOTE  </w:t>
      </w:r>
      <w:r>
        <w:rPr>
          <w:color w:val="1F2937"/>
          <w:sz w:val="20"/>
        </w:rPr>
        <w:t>The log is shared. Super Admins can see what ALS has done and vice versa. Nothing is hidden between the two sides — that's intentional.</w:t>
      </w:r>
    </w:p>
    <w:p>
      <w:r>
        <w:br w:type="page"/>
      </w:r>
    </w:p>
    <w:p>
      <w:pPr>
        <w:pStyle w:val="Heading1"/>
      </w:pPr>
      <w:r>
        <w:t>Exporting to Excel</w:t>
      </w:r>
    </w:p>
    <w:p>
      <w:pPr>
        <w:pBdr>
          <w:left w:val="single" w:sz="24" w:space="8" w:color="0E7C7B"/>
        </w:pBdr>
        <w:ind w:left="170"/>
      </w:pPr>
      <w:r>
        <w:rPr>
          <w:b/>
          <w:color w:val="0E7C7B"/>
          <w:sz w:val="18"/>
        </w:rPr>
        <w:t xml:space="preserve">IN THIS SECTION  </w:t>
      </w:r>
      <w:r>
        <w:rPr>
          <w:i/>
          <w:color w:val="1F2937"/>
          <w:sz w:val="20"/>
        </w:rPr>
        <w:t>Getting the worklist out for offline analysis or hand-off.</w:t>
      </w:r>
    </w:p>
    <w:p>
      <w:r>
        <w:rPr>
          <w:color w:val="374151"/>
          <w:sz w:val="21"/>
        </w:rPr>
        <w:t>The Export to Excel button downloads the current filtered view. Filename pattern:</w:t>
      </w:r>
    </w:p>
    <w:p>
      <w:r>
        <w:rPr>
          <w:color w:val="374151"/>
          <w:sz w:val="21"/>
        </w:rPr>
        <w:t xml:space="preserve">    ALS Collections Report - {Month YYYY if filtered} - YYYY-MM-DD.xlsx</w:t>
      </w:r>
    </w:p>
    <w:p>
      <w:r>
        <w:rPr>
          <w:color w:val="374151"/>
          <w:sz w:val="21"/>
        </w:rPr>
        <w:t>Every column visible in the table is included, plus:</w:t>
      </w:r>
    </w:p>
    <w:p>
      <w:pPr>
        <w:pStyle w:val="ListBullet"/>
      </w:pPr>
      <w:r>
        <w:rPr>
          <w:color w:val="374151"/>
          <w:sz w:val="21"/>
        </w:rPr>
        <w:t>Facility vs Inspector breakdown per levy (egg, pulp, powder).</w:t>
      </w:r>
    </w:p>
    <w:p>
      <w:pPr>
        <w:pStyle w:val="ListBullet"/>
      </w:pPr>
      <w:r>
        <w:rPr>
          <w:color w:val="374151"/>
          <w:sz w:val="21"/>
        </w:rPr>
        <w:t>POP uploaded flag.</w:t>
      </w:r>
    </w:p>
    <w:p>
      <w:pPr>
        <w:pStyle w:val="ListBullet"/>
      </w:pPr>
      <w:r>
        <w:rPr>
          <w:color w:val="374151"/>
          <w:sz w:val="21"/>
        </w:rPr>
        <w:t>Amount paid and outstanding.</w:t>
      </w:r>
    </w:p>
    <w:p>
      <w:pPr>
        <w:pStyle w:val="ListBullet"/>
      </w:pPr>
      <w:r>
        <w:rPr>
          <w:color w:val="374151"/>
          <w:sz w:val="21"/>
        </w:rPr>
        <w:t>Your ALS comment for the row.</w:t>
      </w:r>
    </w:p>
    <w:p>
      <w:r>
        <w:br w:type="page"/>
      </w:r>
    </w:p>
    <w:p>
      <w:pPr>
        <w:pStyle w:val="Heading1"/>
      </w:pPr>
      <w:r>
        <w:t>Company Overview</w:t>
      </w:r>
    </w:p>
    <w:p>
      <w:pPr>
        <w:pBdr>
          <w:left w:val="single" w:sz="24" w:space="8" w:color="0E7C7B"/>
        </w:pBdr>
        <w:ind w:left="170"/>
      </w:pPr>
      <w:r>
        <w:rPr>
          <w:b/>
          <w:color w:val="0E7C7B"/>
          <w:sz w:val="18"/>
        </w:rPr>
        <w:t xml:space="preserve">IN THIS SECTION  </w:t>
      </w:r>
      <w:r>
        <w:rPr>
          <w:i/>
          <w:color w:val="1F2937"/>
          <w:sz w:val="20"/>
        </w:rPr>
        <w:t>Read-only cross-facility.</w:t>
      </w:r>
    </w:p>
    <w:p>
      <w:r>
        <w:rPr>
          <w:color w:val="374151"/>
          <w:sz w:val="21"/>
        </w:rPr>
        <w:t>Use it when a facility asks you a question — you can quickly see their EPV history, payment status, and any comments the inspection team has left. You cannot edit facility data or capture EPVs from here.</w:t>
      </w:r>
    </w:p>
    <w:p>
      <w:r>
        <w:br w:type="page"/>
      </w:r>
    </w:p>
    <w:p>
      <w:pPr>
        <w:pStyle w:val="Heading1"/>
      </w:pPr>
      <w:r>
        <w:t>Common workflows</w:t>
      </w:r>
    </w:p>
    <w:p>
      <w:pPr>
        <w:pBdr>
          <w:left w:val="single" w:sz="24" w:space="8" w:color="0E7C7B"/>
        </w:pBdr>
        <w:ind w:left="170"/>
      </w:pPr>
      <w:r>
        <w:rPr>
          <w:b/>
          <w:color w:val="0E7C7B"/>
          <w:sz w:val="18"/>
        </w:rPr>
        <w:t xml:space="preserve">IN THIS SECTION  </w:t>
      </w:r>
      <w:r>
        <w:rPr>
          <w:i/>
          <w:color w:val="1F2937"/>
          <w:sz w:val="20"/>
        </w:rPr>
        <w:t>The tasks you do most.</w:t>
      </w:r>
    </w:p>
    <w:p>
      <w:pPr>
        <w:pStyle w:val="Heading2"/>
      </w:pPr>
      <w:r>
        <w:t>Sending the monthly invoices</w:t>
      </w:r>
    </w:p>
    <w:p>
      <w:r>
        <w:rPr>
          <w:b/>
          <w:color w:val="0A5C5B"/>
          <w:sz w:val="21"/>
        </w:rPr>
        <w:t xml:space="preserve">  1.  </w:t>
      </w:r>
      <w:r>
        <w:rPr>
          <w:color w:val="374151"/>
          <w:sz w:val="21"/>
        </w:rPr>
        <w:t>ALS Collections → filter to this month's invoiceable set.</w:t>
      </w:r>
    </w:p>
    <w:p>
      <w:r>
        <w:rPr>
          <w:b/>
          <w:color w:val="0A5C5B"/>
          <w:sz w:val="21"/>
        </w:rPr>
        <w:t xml:space="preserve">  2.  </w:t>
      </w:r>
      <w:r>
        <w:rPr>
          <w:color w:val="374151"/>
          <w:sz w:val="21"/>
        </w:rPr>
        <w:t>Generate the invoice from your billing system for each row.</w:t>
      </w:r>
    </w:p>
    <w:p>
      <w:r>
        <w:rPr>
          <w:b/>
          <w:color w:val="0A5C5B"/>
          <w:sz w:val="21"/>
        </w:rPr>
        <w:t xml:space="preserve">  3.  </w:t>
      </w:r>
      <w:r>
        <w:rPr>
          <w:color w:val="374151"/>
          <w:sz w:val="21"/>
        </w:rPr>
        <w:t>Upload the invoice PDF on the row.</w:t>
      </w:r>
    </w:p>
    <w:p>
      <w:r>
        <w:rPr>
          <w:b/>
          <w:color w:val="0A5C5B"/>
          <w:sz w:val="21"/>
        </w:rPr>
        <w:t xml:space="preserve">  4.  </w:t>
      </w:r>
      <w:r>
        <w:rPr>
          <w:color w:val="374151"/>
          <w:sz w:val="21"/>
        </w:rPr>
        <w:t>Tick "Invoice Sent" — the facility now sees it in their Company Overview.</w:t>
      </w:r>
    </w:p>
    <w:p>
      <w:pPr>
        <w:pStyle w:val="Heading2"/>
      </w:pPr>
      <w:r>
        <w:t>Weekly reconciliation</w:t>
      </w:r>
    </w:p>
    <w:p>
      <w:r>
        <w:rPr>
          <w:b/>
          <w:color w:val="0A5C5B"/>
          <w:sz w:val="21"/>
        </w:rPr>
        <w:t xml:space="preserve">  1.  </w:t>
      </w:r>
      <w:r>
        <w:rPr>
          <w:color w:val="374151"/>
          <w:sz w:val="21"/>
        </w:rPr>
        <w:t>Filter to Reconciled = No, Invoice Sent = Yes.</w:t>
      </w:r>
    </w:p>
    <w:p>
      <w:r>
        <w:rPr>
          <w:b/>
          <w:color w:val="0A5C5B"/>
          <w:sz w:val="21"/>
        </w:rPr>
        <w:t xml:space="preserve">  2.  </w:t>
      </w:r>
      <w:r>
        <w:rPr>
          <w:color w:val="374151"/>
          <w:sz w:val="21"/>
        </w:rPr>
        <w:t>Cross-reference the bank feed / receipts against outstanding invoices.</w:t>
      </w:r>
    </w:p>
    <w:p>
      <w:r>
        <w:rPr>
          <w:b/>
          <w:color w:val="0A5C5B"/>
          <w:sz w:val="21"/>
        </w:rPr>
        <w:t xml:space="preserve">  3.  </w:t>
      </w:r>
      <w:r>
        <w:rPr>
          <w:color w:val="374151"/>
          <w:sz w:val="21"/>
        </w:rPr>
        <w:t>Enter each amount received and tick "Mark paid".</w:t>
      </w:r>
    </w:p>
    <w:p>
      <w:r>
        <w:rPr>
          <w:b/>
          <w:color w:val="0A5C5B"/>
          <w:sz w:val="21"/>
        </w:rPr>
        <w:t xml:space="preserve">  4.  </w:t>
      </w:r>
      <w:r>
        <w:rPr>
          <w:color w:val="374151"/>
          <w:sz w:val="21"/>
        </w:rPr>
        <w:t>Add a comment for anything unusual (short pay, part payment, EFT reference mismatch).</w:t>
      </w:r>
    </w:p>
    <w:p>
      <w:pPr>
        <w:pStyle w:val="Heading2"/>
      </w:pPr>
      <w:r>
        <w:t>Monthly close</w:t>
      </w:r>
    </w:p>
    <w:p>
      <w:r>
        <w:rPr>
          <w:b/>
          <w:color w:val="0A5C5B"/>
          <w:sz w:val="21"/>
        </w:rPr>
        <w:t xml:space="preserve">  1.  </w:t>
      </w:r>
      <w:r>
        <w:rPr>
          <w:color w:val="374151"/>
          <w:sz w:val="21"/>
        </w:rPr>
        <w:t>Filter to the closing month.</w:t>
      </w:r>
    </w:p>
    <w:p>
      <w:r>
        <w:rPr>
          <w:b/>
          <w:color w:val="0A5C5B"/>
          <w:sz w:val="21"/>
        </w:rPr>
        <w:t xml:space="preserve">  2.  </w:t>
      </w:r>
      <w:r>
        <w:rPr>
          <w:color w:val="374151"/>
          <w:sz w:val="21"/>
        </w:rPr>
        <w:t>Export to Excel. Save it for records.</w:t>
      </w:r>
    </w:p>
    <w:p>
      <w:r>
        <w:rPr>
          <w:b/>
          <w:color w:val="0A5C5B"/>
          <w:sz w:val="21"/>
        </w:rPr>
        <w:t xml:space="preserve">  3.  </w:t>
      </w:r>
      <w:r>
        <w:rPr>
          <w:color w:val="374151"/>
          <w:sz w:val="21"/>
        </w:rPr>
        <w:t>Review the KPI ribbon — Collection Rate for the period should be greater than 90%.</w:t>
      </w:r>
    </w:p>
    <w:p>
      <w:r>
        <w:br w:type="page"/>
      </w:r>
    </w:p>
    <w:p>
      <w:pPr>
        <w:pStyle w:val="Heading1"/>
      </w:pPr>
      <w:r>
        <w:t>Troubleshooting</w:t>
      </w:r>
    </w:p>
    <w:p>
      <w:pPr>
        <w:pBdr>
          <w:left w:val="single" w:sz="24" w:space="8" w:color="0E7C7B"/>
        </w:pBdr>
        <w:ind w:left="170"/>
      </w:pPr>
      <w:r>
        <w:rPr>
          <w:b/>
          <w:color w:val="0E7C7B"/>
          <w:sz w:val="18"/>
        </w:rPr>
        <w:t xml:space="preserve">IN THIS SECTION  </w:t>
      </w:r>
      <w:r>
        <w:rPr>
          <w:i/>
          <w:color w:val="1F2937"/>
          <w:sz w:val="20"/>
        </w:rPr>
        <w:t>When something looks off.</w:t>
      </w:r>
    </w:p>
    <w:tbl>
      <w:tblPr>
        <w:tblW w:type="auto" w:w="0"/>
        <w:jc w:val="left"/>
        <w:tblLook w:firstColumn="1" w:firstRow="1" w:lastColumn="0" w:lastRow="0" w:noHBand="0" w:noVBand="1" w:val="04A0"/>
        <w:tblBorders>
          <w:top w:val="single" w:sz="4" w:color="D1D5DB"/>
          <w:left w:val="single" w:sz="4" w:color="D1D5DB"/>
          <w:bottom w:val="single" w:sz="4" w:color="D1D5DB"/>
          <w:right w:val="single" w:sz="4" w:color="D1D5DB"/>
          <w:insideH w:val="single" w:sz="4" w:color="D1D5DB"/>
          <w:insideV w:val="single" w:sz="4" w:color="D1D5DB"/>
        </w:tblBorders>
      </w:tblPr>
      <w:tblGrid>
        <w:gridCol w:w="3249"/>
        <w:gridCol w:w="3249"/>
        <w:gridCol w:w="3249"/>
      </w:tblGrid>
      <w:tr>
        <w:tc>
          <w:tcPr>
            <w:tcW w:type="dxa" w:w="3249"/>
            <w:shd w:val="clear" w:color="auto" w:fill="0E7C7B"/>
          </w:tcPr>
          <w:p>
            <w:pPr>
              <w:spacing w:before="40" w:after="40"/>
            </w:pPr>
            <w:r>
              <w:rPr>
                <w:b/>
                <w:color w:val="FFFFFF"/>
                <w:sz w:val="20"/>
              </w:rPr>
              <w:t>Symptom</w:t>
            </w:r>
          </w:p>
        </w:tc>
        <w:tc>
          <w:tcPr>
            <w:tcW w:type="dxa" w:w="3249"/>
            <w:shd w:val="clear" w:color="auto" w:fill="0E7C7B"/>
          </w:tcPr>
          <w:p>
            <w:pPr>
              <w:spacing w:before="40" w:after="40"/>
            </w:pPr>
            <w:r>
              <w:rPr>
                <w:b/>
                <w:color w:val="FFFFFF"/>
                <w:sz w:val="20"/>
              </w:rPr>
              <w:t>Likely cause</w:t>
            </w:r>
          </w:p>
        </w:tc>
        <w:tc>
          <w:tcPr>
            <w:tcW w:type="dxa" w:w="3249"/>
            <w:shd w:val="clear" w:color="auto" w:fill="0E7C7B"/>
          </w:tcPr>
          <w:p>
            <w:pPr>
              <w:spacing w:before="40" w:after="40"/>
            </w:pPr>
            <w:r>
              <w:rPr>
                <w:b/>
                <w:color w:val="FFFFFF"/>
                <w:sz w:val="20"/>
              </w:rPr>
              <w:t>What to try</w:t>
            </w:r>
          </w:p>
        </w:tc>
      </w:tr>
      <w:tr>
        <w:tc>
          <w:tcPr>
            <w:tcW w:type="dxa" w:w="3249"/>
          </w:tcPr>
          <w:p>
            <w:pPr>
              <w:spacing w:before="40" w:after="40"/>
            </w:pPr>
            <w:r>
              <w:rPr>
                <w:color w:val="374151"/>
                <w:sz w:val="19"/>
              </w:rPr>
              <w:t>A completed EPV isn't appearing here.</w:t>
            </w:r>
          </w:p>
        </w:tc>
        <w:tc>
          <w:tcPr>
            <w:tcW w:type="dxa" w:w="3249"/>
          </w:tcPr>
          <w:p>
            <w:pPr>
              <w:spacing w:before="40" w:after="40"/>
            </w:pPr>
            <w:r>
              <w:rPr>
                <w:color w:val="374151"/>
                <w:sz w:val="19"/>
              </w:rPr>
              <w:t>The inspector hasn't approved or rejected it yet.</w:t>
            </w:r>
          </w:p>
        </w:tc>
        <w:tc>
          <w:tcPr>
            <w:tcW w:type="dxa" w:w="3249"/>
          </w:tcPr>
          <w:p>
            <w:pPr>
              <w:spacing w:before="40" w:after="40"/>
            </w:pPr>
            <w:r>
              <w:rPr>
                <w:color w:val="374151"/>
                <w:sz w:val="19"/>
              </w:rPr>
              <w:t>Ask the inspection team to review. Only inspection-cleared EPVs appear.</w:t>
            </w:r>
          </w:p>
        </w:tc>
      </w:tr>
      <w:tr>
        <w:tc>
          <w:tcPr>
            <w:tcW w:type="dxa" w:w="3249"/>
            <w:shd w:val="clear" w:color="auto" w:fill="F3F4F6"/>
          </w:tcPr>
          <w:p>
            <w:pPr>
              <w:spacing w:before="40" w:after="40"/>
            </w:pPr>
            <w:r>
              <w:rPr>
                <w:color w:val="374151"/>
                <w:sz w:val="19"/>
              </w:rPr>
              <w:t>Invoice amount seems too low.</w:t>
            </w:r>
          </w:p>
        </w:tc>
        <w:tc>
          <w:tcPr>
            <w:tcW w:type="dxa" w:w="3249"/>
            <w:shd w:val="clear" w:color="auto" w:fill="F3F4F6"/>
          </w:tcPr>
          <w:p>
            <w:pPr>
              <w:spacing w:before="40" w:after="40"/>
            </w:pPr>
            <w:r>
              <w:rPr>
                <w:color w:val="374151"/>
                <w:sz w:val="19"/>
              </w:rPr>
              <w:t>The inspector rejected and reduced the figures.</w:t>
            </w:r>
          </w:p>
        </w:tc>
        <w:tc>
          <w:tcPr>
            <w:tcW w:type="dxa" w:w="3249"/>
            <w:shd w:val="clear" w:color="auto" w:fill="F3F4F6"/>
          </w:tcPr>
          <w:p>
            <w:pPr>
              <w:spacing w:before="40" w:after="40"/>
            </w:pPr>
            <w:r>
              <w:rPr>
                <w:color w:val="374151"/>
                <w:sz w:val="19"/>
              </w:rPr>
              <w:t>Expand the row — "Rejected → Insp" appears in the Approval column. The Inspector figures are shown alongside the facility's.</w:t>
            </w:r>
          </w:p>
        </w:tc>
      </w:tr>
      <w:tr>
        <w:tc>
          <w:tcPr>
            <w:tcW w:type="dxa" w:w="3249"/>
          </w:tcPr>
          <w:p>
            <w:pPr>
              <w:spacing w:before="40" w:after="40"/>
            </w:pPr>
            <w:r>
              <w:rPr>
                <w:color w:val="374151"/>
                <w:sz w:val="19"/>
              </w:rPr>
              <w:t>Facility says they never got the invoice.</w:t>
            </w:r>
          </w:p>
        </w:tc>
        <w:tc>
          <w:tcPr>
            <w:tcW w:type="dxa" w:w="3249"/>
          </w:tcPr>
          <w:p>
            <w:pPr>
              <w:spacing w:before="40" w:after="40"/>
            </w:pPr>
            <w:r>
              <w:rPr>
                <w:color w:val="374151"/>
                <w:sz w:val="19"/>
              </w:rPr>
              <w:t>Their four email addresses may be out of date.</w:t>
            </w:r>
          </w:p>
        </w:tc>
        <w:tc>
          <w:tcPr>
            <w:tcW w:type="dxa" w:w="3249"/>
          </w:tcPr>
          <w:p>
            <w:pPr>
              <w:spacing w:before="40" w:after="40"/>
            </w:pPr>
            <w:r>
              <w:rPr>
                <w:color w:val="374151"/>
                <w:sz w:val="19"/>
              </w:rPr>
              <w:t>Company Overview → confirm addresses. If correct, ask an Administrator to check EmailSendLog.</w:t>
            </w:r>
          </w:p>
        </w:tc>
      </w:tr>
      <w:tr>
        <w:tc>
          <w:tcPr>
            <w:tcW w:type="dxa" w:w="3249"/>
            <w:shd w:val="clear" w:color="auto" w:fill="F3F4F6"/>
          </w:tcPr>
          <w:p>
            <w:pPr>
              <w:spacing w:before="40" w:after="40"/>
            </w:pPr>
            <w:r>
              <w:rPr>
                <w:color w:val="374151"/>
                <w:sz w:val="19"/>
              </w:rPr>
              <w:t>Upload fails with "file too large".</w:t>
            </w:r>
          </w:p>
        </w:tc>
        <w:tc>
          <w:tcPr>
            <w:tcW w:type="dxa" w:w="3249"/>
            <w:shd w:val="clear" w:color="auto" w:fill="F3F4F6"/>
          </w:tcPr>
          <w:p>
            <w:pPr>
              <w:spacing w:before="40" w:after="40"/>
            </w:pPr>
            <w:r>
              <w:rPr>
                <w:color w:val="374151"/>
                <w:sz w:val="19"/>
              </w:rPr>
              <w:t>The invoice PDF is over 15 MB.</w:t>
            </w:r>
          </w:p>
        </w:tc>
        <w:tc>
          <w:tcPr>
            <w:tcW w:type="dxa" w:w="3249"/>
            <w:shd w:val="clear" w:color="auto" w:fill="F3F4F6"/>
          </w:tcPr>
          <w:p>
            <w:pPr>
              <w:spacing w:before="40" w:after="40"/>
            </w:pPr>
            <w:r>
              <w:rPr>
                <w:color w:val="374151"/>
                <w:sz w:val="19"/>
              </w:rPr>
              <w:t>Compress the PDF (any online tool works). 15 MB is the platform-wide cap.</w:t>
            </w:r>
          </w:p>
        </w:tc>
      </w:tr>
    </w:tbl>
    <w:p/>
    <w:p>
      <w:r>
        <w:br w:type="page"/>
      </w:r>
    </w:p>
    <w:p>
      <w:pPr>
        <w:pStyle w:val="Heading1"/>
      </w:pPr>
      <w:r>
        <w:t>Getting help</w:t>
      </w:r>
    </w:p>
    <w:p>
      <w:pPr>
        <w:pBdr>
          <w:left w:val="single" w:sz="24" w:space="8" w:color="0E7C7B"/>
        </w:pBdr>
        <w:ind w:left="170"/>
      </w:pPr>
      <w:r>
        <w:rPr>
          <w:b/>
          <w:color w:val="0E7C7B"/>
          <w:sz w:val="18"/>
        </w:rPr>
        <w:t xml:space="preserve">IN THIS SECTION  </w:t>
      </w:r>
      <w:r>
        <w:rPr>
          <w:i/>
          <w:color w:val="1F2937"/>
          <w:sz w:val="20"/>
        </w:rPr>
        <w:t>Where to reach out when something isn't working, and where to look for answers on your own.</w:t>
      </w:r>
    </w:p>
    <w:p>
      <w:pPr>
        <w:pStyle w:val="Heading2"/>
      </w:pPr>
      <w:r>
        <w:t>Inside EPVS</w:t>
      </w:r>
    </w:p>
    <w:p>
      <w:r>
        <w:rPr>
          <w:color w:val="374151"/>
          <w:sz w:val="21"/>
        </w:rPr>
        <w:t>Every page has a Support link in the top ribbon and a floating help button in the bottom-right corner. Click either to raise a ticket. Support tickets are triaged by category (Access, EPV Submission, Payment, Dashboard, Company &amp; Facility, or General) and priority (Low, Medium, High, Urgent).</w:t>
      </w:r>
    </w:p>
    <w:p>
      <w:r>
        <w:rPr>
          <w:color w:val="374151"/>
          <w:sz w:val="21"/>
        </w:rPr>
        <w:t>You will get email updates as your ticket moves through Open → In Progress → Resolved. Follow-up comments can be added on the ticket at any time.</w:t>
      </w:r>
    </w:p>
    <w:p>
      <w:pPr>
        <w:pStyle w:val="Heading2"/>
      </w:pPr>
      <w:r>
        <w:t>The User Manual button</w:t>
      </w:r>
    </w:p>
    <w:p>
      <w:r>
        <w:rPr>
          <w:color w:val="374151"/>
          <w:sz w:val="21"/>
        </w:rPr>
        <w:t>The "User Manual" button in the top ribbon downloads this guide as a PDF at any time. Useful for offline reading, printing, or forwarding to a colleague.</w:t>
      </w:r>
    </w:p>
    <w:p>
      <w:pPr>
        <w:pStyle w:val="Heading1"/>
      </w:pPr>
      <w:r>
        <w:t>Glossary</w:t>
      </w:r>
    </w:p>
    <w:p>
      <w:pPr>
        <w:pBdr>
          <w:left w:val="single" w:sz="24" w:space="8" w:color="0E7C7B"/>
        </w:pBdr>
        <w:ind w:left="170"/>
      </w:pPr>
      <w:r>
        <w:rPr>
          <w:b/>
          <w:color w:val="0E7C7B"/>
          <w:sz w:val="18"/>
        </w:rPr>
        <w:t xml:space="preserve">IN THIS SECTION  </w:t>
      </w:r>
      <w:r>
        <w:rPr>
          <w:i/>
          <w:color w:val="1F2937"/>
          <w:sz w:val="20"/>
        </w:rPr>
        <w:t>The vocabulary this manual uses.</w:t>
      </w:r>
    </w:p>
    <w:tbl>
      <w:tblPr>
        <w:tblW w:type="auto" w:w="0"/>
        <w:jc w:val="left"/>
        <w:tblLook w:firstColumn="1" w:firstRow="1" w:lastColumn="0" w:lastRow="0" w:noHBand="0" w:noVBand="1" w:val="04A0"/>
        <w:tblBorders>
          <w:top w:val="single" w:sz="4" w:color="D1D5DB"/>
          <w:left w:val="single" w:sz="4" w:color="D1D5DB"/>
          <w:bottom w:val="single" w:sz="4" w:color="D1D5DB"/>
          <w:right w:val="single" w:sz="4" w:color="D1D5DB"/>
          <w:insideH w:val="single" w:sz="4" w:color="D1D5DB"/>
          <w:insideV w:val="single" w:sz="4" w:color="D1D5DB"/>
        </w:tblBorders>
      </w:tblPr>
      <w:tblGrid>
        <w:gridCol w:w="4873"/>
        <w:gridCol w:w="4873"/>
      </w:tblGrid>
      <w:tr>
        <w:tc>
          <w:tcPr>
            <w:tcW w:type="dxa" w:w="4873"/>
            <w:shd w:val="clear" w:color="auto" w:fill="0E7C7B"/>
          </w:tcPr>
          <w:p>
            <w:pPr>
              <w:spacing w:before="40" w:after="40"/>
            </w:pPr>
            <w:r>
              <w:rPr>
                <w:b/>
                <w:color w:val="FFFFFF"/>
                <w:sz w:val="20"/>
              </w:rPr>
              <w:t>Term</w:t>
            </w:r>
          </w:p>
        </w:tc>
        <w:tc>
          <w:tcPr>
            <w:tcW w:type="dxa" w:w="4873"/>
            <w:shd w:val="clear" w:color="auto" w:fill="0E7C7B"/>
          </w:tcPr>
          <w:p>
            <w:pPr>
              <w:spacing w:before="40" w:after="40"/>
            </w:pPr>
            <w:r>
              <w:rPr>
                <w:b/>
                <w:color w:val="FFFFFF"/>
                <w:sz w:val="20"/>
              </w:rPr>
              <w:t>Meaning</w:t>
            </w:r>
          </w:p>
        </w:tc>
      </w:tr>
      <w:tr>
        <w:tc>
          <w:tcPr>
            <w:tcW w:type="dxa" w:w="4873"/>
          </w:tcPr>
          <w:p>
            <w:pPr>
              <w:spacing w:before="40" w:after="40"/>
            </w:pPr>
            <w:r>
              <w:rPr>
                <w:color w:val="374151"/>
                <w:sz w:val="19"/>
              </w:rPr>
              <w:t>EPV</w:t>
            </w:r>
          </w:p>
        </w:tc>
        <w:tc>
          <w:tcPr>
            <w:tcW w:type="dxa" w:w="4873"/>
          </w:tcPr>
          <w:p>
            <w:pPr>
              <w:spacing w:before="40" w:after="40"/>
            </w:pPr>
            <w:r>
              <w:rPr>
                <w:color w:val="374151"/>
                <w:sz w:val="19"/>
              </w:rPr>
              <w:t>Egg Production Verification — the monthly declaration each facility submits.</w:t>
            </w:r>
          </w:p>
        </w:tc>
      </w:tr>
      <w:tr>
        <w:tc>
          <w:tcPr>
            <w:tcW w:type="dxa" w:w="4873"/>
            <w:shd w:val="clear" w:color="auto" w:fill="F3F4F6"/>
          </w:tcPr>
          <w:p>
            <w:pPr>
              <w:spacing w:before="40" w:after="40"/>
            </w:pPr>
            <w:r>
              <w:rPr>
                <w:color w:val="374151"/>
                <w:sz w:val="19"/>
              </w:rPr>
              <w:t>Levy</w:t>
            </w:r>
          </w:p>
        </w:tc>
        <w:tc>
          <w:tcPr>
            <w:tcW w:type="dxa" w:w="4873"/>
            <w:shd w:val="clear" w:color="auto" w:fill="F3F4F6"/>
          </w:tcPr>
          <w:p>
            <w:pPr>
              <w:spacing w:before="40" w:after="40"/>
            </w:pPr>
            <w:r>
              <w:rPr>
                <w:color w:val="374151"/>
                <w:sz w:val="19"/>
              </w:rPr>
              <w:t>Statutory levy owed on eggs, pulp, and powder sold to trade.</w:t>
            </w:r>
          </w:p>
        </w:tc>
      </w:tr>
      <w:tr>
        <w:tc>
          <w:tcPr>
            <w:tcW w:type="dxa" w:w="4873"/>
          </w:tcPr>
          <w:p>
            <w:pPr>
              <w:spacing w:before="40" w:after="40"/>
            </w:pPr>
            <w:r>
              <w:rPr>
                <w:color w:val="374151"/>
                <w:sz w:val="19"/>
              </w:rPr>
              <w:t>Facility</w:t>
            </w:r>
          </w:p>
        </w:tc>
        <w:tc>
          <w:tcPr>
            <w:tcW w:type="dxa" w:w="4873"/>
          </w:tcPr>
          <w:p>
            <w:pPr>
              <w:spacing w:before="40" w:after="40"/>
            </w:pPr>
            <w:r>
              <w:rPr>
                <w:color w:val="374151"/>
                <w:sz w:val="19"/>
              </w:rPr>
              <w:t>A registered producer, packer, or breaking-plant on the system.</w:t>
            </w:r>
          </w:p>
        </w:tc>
      </w:tr>
      <w:tr>
        <w:tc>
          <w:tcPr>
            <w:tcW w:type="dxa" w:w="4873"/>
            <w:shd w:val="clear" w:color="auto" w:fill="F3F4F6"/>
          </w:tcPr>
          <w:p>
            <w:pPr>
              <w:spacing w:before="40" w:after="40"/>
            </w:pPr>
            <w:r>
              <w:rPr>
                <w:color w:val="374151"/>
                <w:sz w:val="19"/>
              </w:rPr>
              <w:t>ALS</w:t>
            </w:r>
          </w:p>
        </w:tc>
        <w:tc>
          <w:tcPr>
            <w:tcW w:type="dxa" w:w="4873"/>
            <w:shd w:val="clear" w:color="auto" w:fill="F3F4F6"/>
          </w:tcPr>
          <w:p>
            <w:pPr>
              <w:spacing w:before="40" w:after="40"/>
            </w:pPr>
            <w:r>
              <w:rPr>
                <w:color w:val="374151"/>
                <w:sz w:val="19"/>
              </w:rPr>
              <w:t>The 3rd-party levy collector (previously called "Super" in older releases).</w:t>
            </w:r>
          </w:p>
        </w:tc>
      </w:tr>
      <w:tr>
        <w:tc>
          <w:tcPr>
            <w:tcW w:type="dxa" w:w="4873"/>
          </w:tcPr>
          <w:p>
            <w:pPr>
              <w:spacing w:before="40" w:after="40"/>
            </w:pPr>
            <w:r>
              <w:rPr>
                <w:color w:val="374151"/>
                <w:sz w:val="19"/>
              </w:rPr>
              <w:t>Inspector</w:t>
            </w:r>
          </w:p>
        </w:tc>
        <w:tc>
          <w:tcPr>
            <w:tcW w:type="dxa" w:w="4873"/>
          </w:tcPr>
          <w:p>
            <w:pPr>
              <w:spacing w:before="40" w:after="40"/>
            </w:pPr>
            <w:r>
              <w:rPr>
                <w:color w:val="374151"/>
                <w:sz w:val="19"/>
              </w:rPr>
              <w:t>ALS Food Safety Agency staff who verify facility EPVs.</w:t>
            </w:r>
          </w:p>
        </w:tc>
      </w:tr>
      <w:tr>
        <w:tc>
          <w:tcPr>
            <w:tcW w:type="dxa" w:w="4873"/>
            <w:shd w:val="clear" w:color="auto" w:fill="F3F4F6"/>
          </w:tcPr>
          <w:p>
            <w:pPr>
              <w:spacing w:before="40" w:after="40"/>
            </w:pPr>
            <w:r>
              <w:rPr>
                <w:color w:val="374151"/>
                <w:sz w:val="19"/>
              </w:rPr>
              <w:t>Reconciled</w:t>
            </w:r>
          </w:p>
        </w:tc>
        <w:tc>
          <w:tcPr>
            <w:tcW w:type="dxa" w:w="4873"/>
            <w:shd w:val="clear" w:color="auto" w:fill="F3F4F6"/>
          </w:tcPr>
          <w:p>
            <w:pPr>
              <w:spacing w:before="40" w:after="40"/>
            </w:pPr>
            <w:r>
              <w:rPr>
                <w:color w:val="374151"/>
                <w:sz w:val="19"/>
              </w:rPr>
              <w:t>A payment has been received and matched to an EPV.</w:t>
            </w:r>
          </w:p>
        </w:tc>
      </w:tr>
      <w:tr>
        <w:tc>
          <w:tcPr>
            <w:tcW w:type="dxa" w:w="4873"/>
          </w:tcPr>
          <w:p>
            <w:pPr>
              <w:spacing w:before="40" w:after="40"/>
            </w:pPr>
            <w:r>
              <w:rPr>
                <w:color w:val="374151"/>
                <w:sz w:val="19"/>
              </w:rPr>
              <w:t>POP</w:t>
            </w:r>
          </w:p>
        </w:tc>
        <w:tc>
          <w:tcPr>
            <w:tcW w:type="dxa" w:w="4873"/>
          </w:tcPr>
          <w:p>
            <w:pPr>
              <w:spacing w:before="40" w:after="40"/>
            </w:pPr>
            <w:r>
              <w:rPr>
                <w:color w:val="374151"/>
                <w:sz w:val="19"/>
              </w:rPr>
              <w:t>Proof of Payment — the bank confirmation the facility uploads after paying.</w:t>
            </w:r>
          </w:p>
        </w:tc>
      </w:tr>
      <w:tr>
        <w:tc>
          <w:tcPr>
            <w:tcW w:type="dxa" w:w="4873"/>
            <w:shd w:val="clear" w:color="auto" w:fill="F3F4F6"/>
          </w:tcPr>
          <w:p>
            <w:pPr>
              <w:spacing w:before="40" w:after="40"/>
            </w:pPr>
            <w:r>
              <w:rPr>
                <w:color w:val="374151"/>
                <w:sz w:val="19"/>
              </w:rPr>
              <w:t>On EPV Cycle</w:t>
            </w:r>
          </w:p>
        </w:tc>
        <w:tc>
          <w:tcPr>
            <w:tcW w:type="dxa" w:w="4873"/>
            <w:shd w:val="clear" w:color="auto" w:fill="F3F4F6"/>
          </w:tcPr>
          <w:p>
            <w:pPr>
              <w:spacing w:before="40" w:after="40"/>
            </w:pPr>
            <w:r>
              <w:rPr>
                <w:color w:val="374151"/>
                <w:sz w:val="19"/>
              </w:rPr>
              <w:t>A facility that receives the monthly EPV email automatically.</w:t>
            </w:r>
          </w:p>
        </w:tc>
      </w:tr>
      <w:tr>
        <w:tc>
          <w:tcPr>
            <w:tcW w:type="dxa" w:w="4873"/>
          </w:tcPr>
          <w:p>
            <w:pPr>
              <w:spacing w:before="40" w:after="40"/>
            </w:pPr>
            <w:r>
              <w:rPr>
                <w:color w:val="374151"/>
                <w:sz w:val="19"/>
              </w:rPr>
              <w:t>Verified (badge)</w:t>
            </w:r>
          </w:p>
        </w:tc>
        <w:tc>
          <w:tcPr>
            <w:tcW w:type="dxa" w:w="4873"/>
          </w:tcPr>
          <w:p>
            <w:pPr>
              <w:spacing w:before="40" w:after="40"/>
            </w:pPr>
            <w:r>
              <w:rPr>
                <w:color w:val="374151"/>
                <w:sz w:val="19"/>
              </w:rPr>
              <w:t>A facility whose Company Admin has completed the onboarding wizard.</w:t>
            </w:r>
          </w:p>
        </w:tc>
      </w:tr>
    </w:tbl>
    <w:p/>
    <w:p>
      <w:r>
        <w:br w:type="page"/>
      </w:r>
    </w:p>
    <w:p>
      <w:pPr>
        <w:pStyle w:val="Heading1"/>
      </w:pPr>
      <w:r>
        <w:t>How the levy is calculated</w:t>
      </w:r>
    </w:p>
    <w:p>
      <w:pPr>
        <w:pBdr>
          <w:left w:val="single" w:sz="24" w:space="8" w:color="0E7C7B"/>
        </w:pBdr>
        <w:ind w:left="170"/>
      </w:pPr>
      <w:r>
        <w:rPr>
          <w:b/>
          <w:color w:val="0E7C7B"/>
          <w:sz w:val="18"/>
        </w:rPr>
        <w:t xml:space="preserve">IN THIS SECTION  </w:t>
      </w:r>
      <w:r>
        <w:rPr>
          <w:i/>
          <w:color w:val="1F2937"/>
          <w:sz w:val="20"/>
        </w:rPr>
        <w:t>The maths behind every invoice. Trade sales are what count. All amounts exclude VAT.</w:t>
      </w:r>
    </w:p>
    <w:p>
      <w:pPr>
        <w:shd w:val="clear" w:color="auto" w:fill="FEE2E2"/>
        <w:spacing w:before="120" w:after="120"/>
        <w:ind w:left="170" w:right="170"/>
      </w:pPr>
      <w:r>
        <w:rPr>
          <w:b/>
          <w:color w:val="DC2626"/>
          <w:sz w:val="18"/>
        </w:rPr>
        <w:t xml:space="preserve">EXCL. VAT  </w:t>
      </w:r>
      <w:r>
        <w:rPr>
          <w:color w:val="1F2937"/>
          <w:sz w:val="20"/>
        </w:rPr>
        <w:t>ALL Rand amounts anywhere in EPVS are stored and displayed EXCLUSIVE of VAT. The statutory levy is calculated on the pre-VAT sales-to-trade quantities. VAT is added separately by ALS on the invoice they send you.</w:t>
      </w:r>
    </w:p>
    <w:tbl>
      <w:tblPr>
        <w:tblW w:type="auto" w:w="0"/>
        <w:jc w:val="left"/>
        <w:tblLook w:firstColumn="1" w:firstRow="1" w:lastColumn="0" w:lastRow="0" w:noHBand="0" w:noVBand="1" w:val="04A0"/>
        <w:tblBorders>
          <w:top w:val="single" w:sz="4" w:color="D1D5DB"/>
          <w:left w:val="single" w:sz="4" w:color="D1D5DB"/>
          <w:bottom w:val="single" w:sz="4" w:color="D1D5DB"/>
          <w:right w:val="single" w:sz="4" w:color="D1D5DB"/>
          <w:insideH w:val="single" w:sz="4" w:color="D1D5DB"/>
          <w:insideV w:val="single" w:sz="4" w:color="D1D5DB"/>
        </w:tblBorders>
      </w:tblPr>
      <w:tblGrid>
        <w:gridCol w:w="2436"/>
        <w:gridCol w:w="2436"/>
        <w:gridCol w:w="2436"/>
        <w:gridCol w:w="2436"/>
      </w:tblGrid>
      <w:tr>
        <w:tc>
          <w:tcPr>
            <w:tcW w:type="dxa" w:w="2436"/>
            <w:shd w:val="clear" w:color="auto" w:fill="0E7C7B"/>
          </w:tcPr>
          <w:p>
            <w:pPr>
              <w:spacing w:before="40" w:after="40"/>
            </w:pPr>
            <w:r>
              <w:rPr>
                <w:b/>
                <w:color w:val="FFFFFF"/>
                <w:sz w:val="20"/>
              </w:rPr>
              <w:t>Product</w:t>
            </w:r>
          </w:p>
        </w:tc>
        <w:tc>
          <w:tcPr>
            <w:tcW w:type="dxa" w:w="2436"/>
            <w:shd w:val="clear" w:color="auto" w:fill="0E7C7B"/>
          </w:tcPr>
          <w:p>
            <w:pPr>
              <w:spacing w:before="40" w:after="40"/>
            </w:pPr>
            <w:r>
              <w:rPr>
                <w:b/>
                <w:color w:val="FFFFFF"/>
                <w:sz w:val="20"/>
              </w:rPr>
              <w:t>Basis</w:t>
            </w:r>
          </w:p>
        </w:tc>
        <w:tc>
          <w:tcPr>
            <w:tcW w:type="dxa" w:w="2436"/>
            <w:shd w:val="clear" w:color="auto" w:fill="0E7C7B"/>
          </w:tcPr>
          <w:p>
            <w:pPr>
              <w:spacing w:before="40" w:after="40"/>
            </w:pPr>
            <w:r>
              <w:rPr>
                <w:b/>
                <w:color w:val="FFFFFF"/>
                <w:sz w:val="20"/>
              </w:rPr>
              <w:t>Rate (excl VAT)</w:t>
            </w:r>
          </w:p>
        </w:tc>
        <w:tc>
          <w:tcPr>
            <w:tcW w:type="dxa" w:w="2436"/>
            <w:shd w:val="clear" w:color="auto" w:fill="0E7C7B"/>
          </w:tcPr>
          <w:p>
            <w:pPr>
              <w:spacing w:before="40" w:after="40"/>
            </w:pPr>
            <w:r>
              <w:rPr>
                <w:b/>
                <w:color w:val="FFFFFF"/>
                <w:sz w:val="20"/>
              </w:rPr>
              <w:t>Formula</w:t>
            </w:r>
          </w:p>
        </w:tc>
      </w:tr>
      <w:tr>
        <w:tc>
          <w:tcPr>
            <w:tcW w:type="dxa" w:w="2436"/>
          </w:tcPr>
          <w:p>
            <w:pPr>
              <w:spacing w:before="40" w:after="40"/>
            </w:pPr>
            <w:r>
              <w:rPr>
                <w:color w:val="374151"/>
                <w:sz w:val="19"/>
              </w:rPr>
              <w:t>Eggs</w:t>
            </w:r>
          </w:p>
        </w:tc>
        <w:tc>
          <w:tcPr>
            <w:tcW w:type="dxa" w:w="2436"/>
          </w:tcPr>
          <w:p>
            <w:pPr>
              <w:spacing w:before="40" w:after="40"/>
            </w:pPr>
            <w:r>
              <w:rPr>
                <w:color w:val="374151"/>
                <w:sz w:val="19"/>
              </w:rPr>
              <w:t>Dozens sold to trade</w:t>
            </w:r>
          </w:p>
        </w:tc>
        <w:tc>
          <w:tcPr>
            <w:tcW w:type="dxa" w:w="2436"/>
          </w:tcPr>
          <w:p>
            <w:pPr>
              <w:spacing w:before="40" w:after="40"/>
            </w:pPr>
            <w:r>
              <w:rPr>
                <w:color w:val="374151"/>
                <w:sz w:val="19"/>
              </w:rPr>
              <w:t>R 0.020 / dozen</w:t>
            </w:r>
          </w:p>
        </w:tc>
        <w:tc>
          <w:tcPr>
            <w:tcW w:type="dxa" w:w="2436"/>
          </w:tcPr>
          <w:p>
            <w:pPr>
              <w:spacing w:before="40" w:after="40"/>
            </w:pPr>
            <w:r>
              <w:rPr>
                <w:color w:val="374151"/>
                <w:sz w:val="19"/>
              </w:rPr>
              <w:t>SoldToTrade × 0.020</w:t>
            </w:r>
          </w:p>
        </w:tc>
      </w:tr>
      <w:tr>
        <w:tc>
          <w:tcPr>
            <w:tcW w:type="dxa" w:w="2436"/>
            <w:shd w:val="clear" w:color="auto" w:fill="F3F4F6"/>
          </w:tcPr>
          <w:p>
            <w:pPr>
              <w:spacing w:before="40" w:after="40"/>
            </w:pPr>
            <w:r>
              <w:rPr>
                <w:color w:val="374151"/>
                <w:sz w:val="19"/>
              </w:rPr>
              <w:t>Pulp</w:t>
            </w:r>
          </w:p>
        </w:tc>
        <w:tc>
          <w:tcPr>
            <w:tcW w:type="dxa" w:w="2436"/>
            <w:shd w:val="clear" w:color="auto" w:fill="F3F4F6"/>
          </w:tcPr>
          <w:p>
            <w:pPr>
              <w:spacing w:before="40" w:after="40"/>
            </w:pPr>
            <w:r>
              <w:rPr>
                <w:color w:val="374151"/>
                <w:sz w:val="19"/>
              </w:rPr>
              <w:t>kg sold to trade → dozens at 1.7</w:t>
            </w:r>
          </w:p>
        </w:tc>
        <w:tc>
          <w:tcPr>
            <w:tcW w:type="dxa" w:w="2436"/>
            <w:shd w:val="clear" w:color="auto" w:fill="F3F4F6"/>
          </w:tcPr>
          <w:p>
            <w:pPr>
              <w:spacing w:before="40" w:after="40"/>
            </w:pPr>
            <w:r>
              <w:rPr>
                <w:color w:val="374151"/>
                <w:sz w:val="19"/>
              </w:rPr>
              <w:t>R 0.020 / dozen (R 0.034 / kg)</w:t>
            </w:r>
          </w:p>
        </w:tc>
        <w:tc>
          <w:tcPr>
            <w:tcW w:type="dxa" w:w="2436"/>
            <w:shd w:val="clear" w:color="auto" w:fill="F3F4F6"/>
          </w:tcPr>
          <w:p>
            <w:pPr>
              <w:spacing w:before="40" w:after="40"/>
            </w:pPr>
            <w:r>
              <w:rPr>
                <w:color w:val="374151"/>
                <w:sz w:val="19"/>
              </w:rPr>
              <w:t>PulpSoldToTrade × 1.7 × 0.020</w:t>
            </w:r>
          </w:p>
        </w:tc>
      </w:tr>
      <w:tr>
        <w:tc>
          <w:tcPr>
            <w:tcW w:type="dxa" w:w="2436"/>
          </w:tcPr>
          <w:p>
            <w:pPr>
              <w:spacing w:before="40" w:after="40"/>
            </w:pPr>
            <w:r>
              <w:rPr>
                <w:color w:val="374151"/>
                <w:sz w:val="19"/>
              </w:rPr>
              <w:t>Powder</w:t>
            </w:r>
          </w:p>
        </w:tc>
        <w:tc>
          <w:tcPr>
            <w:tcW w:type="dxa" w:w="2436"/>
          </w:tcPr>
          <w:p>
            <w:pPr>
              <w:spacing w:before="40" w:after="40"/>
            </w:pPr>
            <w:r>
              <w:rPr>
                <w:color w:val="374151"/>
                <w:sz w:val="19"/>
              </w:rPr>
              <w:t>kg sold to trade</w:t>
            </w:r>
          </w:p>
        </w:tc>
        <w:tc>
          <w:tcPr>
            <w:tcW w:type="dxa" w:w="2436"/>
          </w:tcPr>
          <w:p>
            <w:pPr>
              <w:spacing w:before="40" w:after="40"/>
            </w:pPr>
            <w:r>
              <w:rPr>
                <w:color w:val="374151"/>
                <w:sz w:val="19"/>
              </w:rPr>
              <w:t>R 0.020 / kg</w:t>
            </w:r>
          </w:p>
        </w:tc>
        <w:tc>
          <w:tcPr>
            <w:tcW w:type="dxa" w:w="2436"/>
          </w:tcPr>
          <w:p>
            <w:pPr>
              <w:spacing w:before="40" w:after="40"/>
            </w:pPr>
            <w:r>
              <w:rPr>
                <w:color w:val="374151"/>
                <w:sz w:val="19"/>
              </w:rPr>
              <w:t>PowderSoldToTrade × 0.020</w:t>
            </w:r>
          </w:p>
        </w:tc>
      </w:tr>
    </w:tbl>
    <w:p/>
    <w:p>
      <w:r>
        <w:rPr>
          <w:color w:val="374151"/>
          <w:sz w:val="21"/>
        </w:rPr>
        <w:t>These fields are recorded so your closing stock balances, but they DO NOT contribute to the levy: sales to staff, sales through a farm stall, transfers to other producers, pulp / powder sold to other producers, market returns, machine loss, sent-to-pulp, destroyed, exported, and conversion loss.</w:t>
      </w:r>
    </w:p>
    <w:sectPr w:rsidR="00FC693F" w:rsidRPr="0006063C" w:rsidSect="00034616">
      <w:footerReference w:type="default" r:id="rId9"/>
      <w:pgSz w:w="12240" w:h="15840"/>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i/>
        <w:color w:val="6B7280"/>
        <w:sz w:val="18"/>
      </w:rPr>
      <w:t>ALS Collections Manual   |   EPVS · ALS Food Safety Agency</w:t>
    </w:r>
    <w:r>
      <w:tab/>
      <w:tab/>
    </w:r>
    <w:r>
      <w:rPr>
        <w:color w:val="6B7280"/>
        <w:sz w:val="18"/>
      </w:rPr>
      <w:fldChar w:fldCharType="begin"/>
      <w:instrText xml:space="preserve">PAGE</w:instrText>
      <w:fldChar w:fldCharType="end"/>
    </w:r>
    <w:r>
      <w:rPr>
        <w:color w:val="6B7280"/>
        <w:sz w:val="18"/>
      </w:rPr>
      <w:t xml:space="preserve"> of </w:t>
    </w:r>
    <w:r>
      <w:rPr>
        <w:color w:val="6B7280"/>
        <w:sz w:val="18"/>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37415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egoe UI" w:hAnsi="Segoe UI"/>
      <w:b/>
      <w:bCs/>
      <w:color w:val="0E7C7B"/>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egoe UI" w:hAnsi="Segoe UI"/>
      <w:b/>
      <w:bCs/>
      <w:color w:val="0A5C5B"/>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egoe UI" w:hAnsi="Segoe UI"/>
      <w:b/>
      <w:bCs/>
      <w:color w:val="1F293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Segoe UI" w:hAnsi="Segoe UI"/>
      <w:b/>
      <w:color w:val="0E7C7B"/>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Segoe UI" w:hAnsi="Segoe UI"/>
      <w:b w:val="0"/>
      <w:i/>
      <w:iCs/>
      <w:color w:val="6B7280"/>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