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0E7C7B"/>
          <w:sz w:val="144"/>
        </w:rPr>
        <w:t>EPVS</w:t>
      </w:r>
    </w:p>
    <w:p>
      <w:pPr>
        <w:jc w:val="center"/>
      </w:pPr>
      <w:r>
        <w:rPr>
          <w:color w:val="6B7280"/>
          <w:sz w:val="28"/>
        </w:rPr>
        <w:t>Egg Production Verification System</w:t>
      </w:r>
    </w:p>
    <w:p>
      <w:pPr>
        <w:spacing w:before="1200"/>
        <w:jc w:val="center"/>
      </w:pPr>
      <w:r>
        <w:rPr>
          <w:b/>
          <w:color w:val="1F2937"/>
          <w:sz w:val="60"/>
        </w:rPr>
        <w:t>Administrator Manual</w:t>
      </w:r>
    </w:p>
    <w:p>
      <w:pPr>
        <w:jc w:val="center"/>
      </w:pPr>
      <w:r>
        <w:rPr>
          <w:i/>
          <w:color w:val="6B7280"/>
          <w:sz w:val="28"/>
        </w:rPr>
        <w:t>Operational oversight and reconciliation</w:t>
      </w:r>
    </w:p>
    <w:p>
      <w:pPr>
        <w:spacing w:before="2000"/>
        <w:jc w:val="center"/>
      </w:pPr>
      <w:r>
        <w:rPr>
          <w:color w:val="0A5C5B"/>
          <w:sz w:val="24"/>
        </w:rPr>
        <w:t>Audience: ALS Food Safety Agency Administrators</w:t>
      </w:r>
    </w:p>
    <w:p>
      <w:pPr>
        <w:jc w:val="center"/>
      </w:pPr>
      <w:r>
        <w:rPr>
          <w:color w:val="6B7280"/>
          <w:sz w:val="22"/>
        </w:rPr>
        <w:t>Edition April 2026</w:t>
      </w:r>
    </w:p>
    <w:p>
      <w:pPr>
        <w:spacing w:before="1200"/>
        <w:jc w:val="center"/>
      </w:pPr>
      <w:r>
        <w:rPr>
          <w:b/>
          <w:color w:val="0E7C7B"/>
          <w:sz w:val="22"/>
        </w:rPr>
        <w:t>ALS Food Safety Agency</w:t>
      </w:r>
    </w:p>
    <w:p>
      <w:pPr>
        <w:spacing w:before="120"/>
        <w:jc w:val="center"/>
      </w:pPr>
      <w:r>
        <w:rPr>
          <w:b/>
          <w:color w:val="DC2626"/>
          <w:sz w:val="22"/>
        </w:rPr>
        <w:t>All amounts throughout EPVS are shown EXCLUSIVE of VAT.</w:t>
      </w:r>
    </w:p>
    <w:p>
      <w:r>
        <w:br w:type="page"/>
      </w:r>
    </w:p>
    <w:p>
      <w:pPr>
        <w:pStyle w:val="Heading1"/>
      </w:pPr>
      <w:r>
        <w:t>Table of Contents</w:t>
      </w:r>
    </w:p>
    <w:p>
      <w:r>
        <w:rPr>
          <w:color w:val="374151"/>
          <w:sz w:val="21"/>
        </w:rPr>
        <w:t>This document uses a Word Table of Contents. To fill it in, right-click below and choose "Update Field" (or press F9). All headings you see through the guide are included.</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t>About EPVS</w:t>
      </w:r>
    </w:p>
    <w:p>
      <w:pPr>
        <w:pBdr>
          <w:left w:val="single" w:sz="24" w:space="8" w:color="0E7C7B"/>
        </w:pBdr>
        <w:ind w:left="170"/>
      </w:pPr>
      <w:r>
        <w:rPr>
          <w:b/>
          <w:color w:val="0E7C7B"/>
          <w:sz w:val="18"/>
        </w:rPr>
        <w:t xml:space="preserve">IN THIS SECTION  </w:t>
      </w:r>
      <w:r>
        <w:rPr>
          <w:i/>
          <w:color w:val="1F2937"/>
          <w:sz w:val="20"/>
        </w:rPr>
        <w:t>What the platform is, who uses it, and where you fit in.</w:t>
      </w:r>
    </w:p>
    <w:p>
      <w:r>
        <w:rPr>
          <w:color w:val="374151"/>
          <w:sz w:val="21"/>
        </w:rPr>
        <w:t>EPVS manages the statutory levy owed on graded eggs, pulp, and egg powder across every registered facility. Facilities submit monthly EPVs, inspectors verify them, and ALS invoices and reconciles payment. This manual walks through everything the current role can do.</w:t>
      </w:r>
    </w:p>
    <w:p>
      <w:r>
        <w:rPr>
          <w:color w:val="374151"/>
          <w:sz w:val="21"/>
        </w:rPr>
        <w:t>The five moving parts:</w:t>
      </w:r>
    </w:p>
    <w:p>
      <w:pPr>
        <w:pStyle w:val="ListBullet"/>
      </w:pPr>
      <w:r>
        <w:rPr>
          <w:color w:val="374151"/>
          <w:sz w:val="21"/>
        </w:rPr>
        <w:t>Facilities submit their monthly EPV.</w:t>
      </w:r>
    </w:p>
    <w:p>
      <w:pPr>
        <w:pStyle w:val="ListBullet"/>
      </w:pPr>
      <w:r>
        <w:rPr>
          <w:color w:val="374151"/>
          <w:sz w:val="21"/>
        </w:rPr>
        <w:t>Inspectors approve or capture a revised set of figures.</w:t>
      </w:r>
    </w:p>
    <w:p>
      <w:pPr>
        <w:pStyle w:val="ListBullet"/>
      </w:pPr>
      <w:r>
        <w:rPr>
          <w:color w:val="374151"/>
          <w:sz w:val="21"/>
        </w:rPr>
        <w:t>ALS invoices and records payment.</w:t>
      </w:r>
    </w:p>
    <w:p>
      <w:pPr>
        <w:pStyle w:val="ListBullet"/>
      </w:pPr>
      <w:r>
        <w:rPr>
          <w:color w:val="374151"/>
          <w:sz w:val="21"/>
        </w:rPr>
        <w:t>Administrators and Super Admins oversee the whole cycle.</w:t>
      </w:r>
    </w:p>
    <w:p>
      <w:pPr>
        <w:pStyle w:val="ListBullet"/>
      </w:pPr>
      <w:r>
        <w:rPr>
          <w:color w:val="374151"/>
          <w:sz w:val="21"/>
        </w:rPr>
        <w:t>The system does the arithmetic, schedules issuance, and logs everything.</w:t>
      </w:r>
    </w:p>
    <w:p>
      <w:r>
        <w:br w:type="page"/>
      </w:r>
    </w:p>
    <w:p>
      <w:pPr>
        <w:pStyle w:val="Heading1"/>
      </w:pPr>
      <w:r>
        <w:t>Logging in and getting oriented</w:t>
      </w:r>
    </w:p>
    <w:p>
      <w:pPr>
        <w:pBdr>
          <w:left w:val="single" w:sz="24" w:space="8" w:color="0E7C7B"/>
        </w:pBdr>
        <w:ind w:left="170"/>
      </w:pPr>
      <w:r>
        <w:rPr>
          <w:b/>
          <w:color w:val="0E7C7B"/>
          <w:sz w:val="18"/>
        </w:rPr>
        <w:t xml:space="preserve">IN THIS SECTION  </w:t>
      </w:r>
      <w:r>
        <w:rPr>
          <w:i/>
          <w:color w:val="1F2937"/>
          <w:sz w:val="20"/>
        </w:rPr>
        <w:t>What you see the moment you log in as an Administrator.</w:t>
      </w:r>
    </w:p>
    <w:p>
      <w:r>
        <w:rPr>
          <w:color w:val="374151"/>
          <w:sz w:val="21"/>
        </w:rPr>
        <w:t>Administrators land on the Dashboard. Seven tabs are available.</w:t>
      </w:r>
    </w:p>
    <w:tbl>
      <w:tblPr>
        <w:tblW w:type="auto" w:w="0"/>
        <w:jc w:val="lef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4873"/>
        <w:gridCol w:w="4873"/>
      </w:tblGrid>
      <w:tr>
        <w:tc>
          <w:tcPr>
            <w:tcW w:type="dxa" w:w="4873"/>
            <w:shd w:val="clear" w:color="auto" w:fill="0E7C7B"/>
          </w:tcPr>
          <w:p>
            <w:pPr>
              <w:spacing w:before="40" w:after="40"/>
            </w:pPr>
            <w:r>
              <w:rPr>
                <w:b/>
                <w:color w:val="FFFFFF"/>
                <w:sz w:val="20"/>
              </w:rPr>
              <w:t>Tab</w:t>
            </w:r>
          </w:p>
        </w:tc>
        <w:tc>
          <w:tcPr>
            <w:tcW w:type="dxa" w:w="4873"/>
            <w:shd w:val="clear" w:color="auto" w:fill="0E7C7B"/>
          </w:tcPr>
          <w:p>
            <w:pPr>
              <w:spacing w:before="40" w:after="40"/>
            </w:pPr>
            <w:r>
              <w:rPr>
                <w:b/>
                <w:color w:val="FFFFFF"/>
                <w:sz w:val="20"/>
              </w:rPr>
              <w:t>Purpose</w:t>
            </w:r>
          </w:p>
        </w:tc>
      </w:tr>
      <w:tr>
        <w:tc>
          <w:tcPr>
            <w:tcW w:type="dxa" w:w="4873"/>
          </w:tcPr>
          <w:p>
            <w:pPr>
              <w:spacing w:before="40" w:after="40"/>
            </w:pPr>
            <w:r>
              <w:rPr>
                <w:color w:val="374151"/>
                <w:sz w:val="19"/>
              </w:rPr>
              <w:t>Dashboard</w:t>
            </w:r>
          </w:p>
        </w:tc>
        <w:tc>
          <w:tcPr>
            <w:tcW w:type="dxa" w:w="4873"/>
          </w:tcPr>
          <w:p>
            <w:pPr>
              <w:spacing w:before="40" w:after="40"/>
            </w:pPr>
            <w:r>
              <w:rPr>
                <w:color w:val="374151"/>
                <w:sz w:val="19"/>
              </w:rPr>
              <w:t>KPI ribbon, financial charts, province overview.</w:t>
            </w:r>
          </w:p>
        </w:tc>
      </w:tr>
      <w:tr>
        <w:tc>
          <w:tcPr>
            <w:tcW w:type="dxa" w:w="4873"/>
            <w:shd w:val="clear" w:color="auto" w:fill="F3F4F6"/>
          </w:tcPr>
          <w:p>
            <w:pPr>
              <w:spacing w:before="40" w:after="40"/>
            </w:pPr>
            <w:r>
              <w:rPr>
                <w:color w:val="374151"/>
                <w:sz w:val="19"/>
              </w:rPr>
              <w:t>Clients</w:t>
            </w:r>
          </w:p>
        </w:tc>
        <w:tc>
          <w:tcPr>
            <w:tcW w:type="dxa" w:w="4873"/>
            <w:shd w:val="clear" w:color="auto" w:fill="F3F4F6"/>
          </w:tcPr>
          <w:p>
            <w:pPr>
              <w:spacing w:before="40" w:after="40"/>
            </w:pPr>
            <w:r>
              <w:rPr>
                <w:color w:val="374151"/>
                <w:sz w:val="19"/>
              </w:rPr>
              <w:t>Consolidated Master Facility Database (CRUD + audit).</w:t>
            </w:r>
          </w:p>
        </w:tc>
      </w:tr>
      <w:tr>
        <w:tc>
          <w:tcPr>
            <w:tcW w:type="dxa" w:w="4873"/>
          </w:tcPr>
          <w:p>
            <w:pPr>
              <w:spacing w:before="40" w:after="40"/>
            </w:pPr>
            <w:r>
              <w:rPr>
                <w:color w:val="374151"/>
                <w:sz w:val="19"/>
              </w:rPr>
              <w:t>Inspectors</w:t>
            </w:r>
          </w:p>
        </w:tc>
        <w:tc>
          <w:tcPr>
            <w:tcW w:type="dxa" w:w="4873"/>
          </w:tcPr>
          <w:p>
            <w:pPr>
              <w:spacing w:before="40" w:after="40"/>
            </w:pPr>
            <w:r>
              <w:rPr>
                <w:color w:val="374151"/>
                <w:sz w:val="19"/>
              </w:rPr>
              <w:t>Inspector workload and allocation.</w:t>
            </w:r>
          </w:p>
        </w:tc>
      </w:tr>
      <w:tr>
        <w:tc>
          <w:tcPr>
            <w:tcW w:type="dxa" w:w="4873"/>
            <w:shd w:val="clear" w:color="auto" w:fill="F3F4F6"/>
          </w:tcPr>
          <w:p>
            <w:pPr>
              <w:spacing w:before="40" w:after="40"/>
            </w:pPr>
            <w:r>
              <w:rPr>
                <w:color w:val="374151"/>
                <w:sz w:val="19"/>
              </w:rPr>
              <w:t>Administrators</w:t>
            </w:r>
          </w:p>
        </w:tc>
        <w:tc>
          <w:tcPr>
            <w:tcW w:type="dxa" w:w="4873"/>
            <w:shd w:val="clear" w:color="auto" w:fill="F3F4F6"/>
          </w:tcPr>
          <w:p>
            <w:pPr>
              <w:spacing w:before="40" w:after="40"/>
            </w:pPr>
            <w:r>
              <w:rPr>
                <w:color w:val="374151"/>
                <w:sz w:val="19"/>
              </w:rPr>
              <w:t>Reconciliation control centre — where you spend most of your day.</w:t>
            </w:r>
          </w:p>
        </w:tc>
      </w:tr>
      <w:tr>
        <w:tc>
          <w:tcPr>
            <w:tcW w:type="dxa" w:w="4873"/>
          </w:tcPr>
          <w:p>
            <w:pPr>
              <w:spacing w:before="40" w:after="40"/>
            </w:pPr>
            <w:r>
              <w:rPr>
                <w:color w:val="374151"/>
                <w:sz w:val="19"/>
              </w:rPr>
              <w:t>Company Overview</w:t>
            </w:r>
          </w:p>
        </w:tc>
        <w:tc>
          <w:tcPr>
            <w:tcW w:type="dxa" w:w="4873"/>
          </w:tcPr>
          <w:p>
            <w:pPr>
              <w:spacing w:before="40" w:after="40"/>
            </w:pPr>
            <w:r>
              <w:rPr>
                <w:color w:val="374151"/>
                <w:sz w:val="19"/>
              </w:rPr>
              <w:t>Deep-dive per facility.</w:t>
            </w:r>
          </w:p>
        </w:tc>
      </w:tr>
      <w:tr>
        <w:tc>
          <w:tcPr>
            <w:tcW w:type="dxa" w:w="4873"/>
            <w:shd w:val="clear" w:color="auto" w:fill="F3F4F6"/>
          </w:tcPr>
          <w:p>
            <w:pPr>
              <w:spacing w:before="40" w:after="40"/>
            </w:pPr>
            <w:r>
              <w:rPr>
                <w:color w:val="374151"/>
                <w:sz w:val="19"/>
              </w:rPr>
              <w:t>Support</w:t>
            </w:r>
          </w:p>
        </w:tc>
        <w:tc>
          <w:tcPr>
            <w:tcW w:type="dxa" w:w="4873"/>
            <w:shd w:val="clear" w:color="auto" w:fill="F3F4F6"/>
          </w:tcPr>
          <w:p>
            <w:pPr>
              <w:spacing w:before="40" w:after="40"/>
            </w:pPr>
            <w:r>
              <w:rPr>
                <w:color w:val="374151"/>
                <w:sz w:val="19"/>
              </w:rPr>
              <w:t>Support tickets across the system.</w:t>
            </w:r>
          </w:p>
        </w:tc>
      </w:tr>
      <w:tr>
        <w:tc>
          <w:tcPr>
            <w:tcW w:type="dxa" w:w="4873"/>
          </w:tcPr>
          <w:p>
            <w:pPr>
              <w:spacing w:before="40" w:after="40"/>
            </w:pPr>
            <w:r>
              <w:rPr>
                <w:color w:val="374151"/>
                <w:sz w:val="19"/>
              </w:rPr>
              <w:t>User Management</w:t>
            </w:r>
          </w:p>
        </w:tc>
        <w:tc>
          <w:tcPr>
            <w:tcW w:type="dxa" w:w="4873"/>
          </w:tcPr>
          <w:p>
            <w:pPr>
              <w:spacing w:before="40" w:after="40"/>
            </w:pPr>
            <w:r>
              <w:rPr>
                <w:color w:val="374151"/>
                <w:sz w:val="19"/>
              </w:rPr>
              <w:t>Add / edit / deactivate users; login history.</w:t>
            </w:r>
          </w:p>
        </w:tc>
      </w:tr>
    </w:tbl>
    <w:p/>
    <w:p>
      <w:pPr>
        <w:shd w:val="clear" w:color="auto" w:fill="DBEAFE"/>
        <w:spacing w:before="120" w:after="120"/>
        <w:ind w:left="170" w:right="170"/>
      </w:pPr>
      <w:r>
        <w:rPr>
          <w:b/>
          <w:color w:val="1E40AF"/>
          <w:sz w:val="18"/>
        </w:rPr>
        <w:t xml:space="preserve">NOTE  </w:t>
      </w:r>
      <w:r>
        <w:rPr>
          <w:color w:val="1F2937"/>
          <w:sz w:val="20"/>
        </w:rPr>
        <w:t>ALS Collections is restricted to ALS staff and Super Administrators. You will not see that tab.</w:t>
      </w:r>
    </w:p>
    <w:p>
      <w:r>
        <w:br w:type="page"/>
      </w:r>
    </w:p>
    <w:p>
      <w:pPr>
        <w:pStyle w:val="Heading1"/>
      </w:pPr>
      <w:r>
        <w:t>Consolidated Master Facility Database</w:t>
      </w:r>
    </w:p>
    <w:p>
      <w:pPr>
        <w:pBdr>
          <w:left w:val="single" w:sz="24" w:space="8" w:color="0E7C7B"/>
        </w:pBdr>
        <w:ind w:left="170"/>
      </w:pPr>
      <w:r>
        <w:rPr>
          <w:b/>
          <w:color w:val="0E7C7B"/>
          <w:sz w:val="18"/>
        </w:rPr>
        <w:t xml:space="preserve">IN THIS SECTION  </w:t>
      </w:r>
      <w:r>
        <w:rPr>
          <w:i/>
          <w:color w:val="1F2937"/>
          <w:sz w:val="20"/>
        </w:rPr>
        <w:t>Add and manage facilities.</w:t>
      </w:r>
    </w:p>
    <w:p>
      <w:r>
        <w:rPr>
          <w:color w:val="374151"/>
          <w:sz w:val="21"/>
        </w:rPr>
        <w:t>You have the same abilities as Super Administrators here — add, edit, delete facilities; send EPVs; export.</w:t>
      </w:r>
    </w:p>
    <w:p>
      <w:pPr>
        <w:pStyle w:val="Heading2"/>
      </w:pPr>
      <w:r>
        <w:t>Badges</w:t>
      </w:r>
    </w:p>
    <w:tbl>
      <w:tblPr>
        <w:tblW w:type="auto" w:w="0"/>
        <w:jc w:val="lef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4873"/>
        <w:gridCol w:w="4873"/>
      </w:tblGrid>
      <w:tr>
        <w:tc>
          <w:tcPr>
            <w:tcW w:type="dxa" w:w="4873"/>
            <w:shd w:val="clear" w:color="auto" w:fill="0E7C7B"/>
          </w:tcPr>
          <w:p>
            <w:pPr>
              <w:spacing w:before="40" w:after="40"/>
            </w:pPr>
            <w:r>
              <w:rPr>
                <w:b/>
                <w:color w:val="FFFFFF"/>
                <w:sz w:val="20"/>
              </w:rPr>
              <w:t>Badge</w:t>
            </w:r>
          </w:p>
        </w:tc>
        <w:tc>
          <w:tcPr>
            <w:tcW w:type="dxa" w:w="4873"/>
            <w:shd w:val="clear" w:color="auto" w:fill="0E7C7B"/>
          </w:tcPr>
          <w:p>
            <w:pPr>
              <w:spacing w:before="40" w:after="40"/>
            </w:pPr>
            <w:r>
              <w:rPr>
                <w:b/>
                <w:color w:val="FFFFFF"/>
                <w:sz w:val="20"/>
              </w:rPr>
              <w:t>Meaning</w:t>
            </w:r>
          </w:p>
        </w:tc>
      </w:tr>
      <w:tr>
        <w:tc>
          <w:tcPr>
            <w:tcW w:type="dxa" w:w="4873"/>
          </w:tcPr>
          <w:p>
            <w:pPr>
              <w:spacing w:before="40" w:after="40"/>
            </w:pPr>
            <w:r>
              <w:rPr>
                <w:color w:val="374151"/>
                <w:sz w:val="19"/>
              </w:rPr>
              <w:t>Verified</w:t>
            </w:r>
          </w:p>
        </w:tc>
        <w:tc>
          <w:tcPr>
            <w:tcW w:type="dxa" w:w="4873"/>
          </w:tcPr>
          <w:p>
            <w:pPr>
              <w:spacing w:before="40" w:after="40"/>
            </w:pPr>
            <w:r>
              <w:rPr>
                <w:color w:val="374151"/>
                <w:sz w:val="19"/>
              </w:rPr>
              <w:t>Company Admin has completed the onboarding wizard.</w:t>
            </w:r>
          </w:p>
        </w:tc>
      </w:tr>
      <w:tr>
        <w:tc>
          <w:tcPr>
            <w:tcW w:type="dxa" w:w="4873"/>
            <w:shd w:val="clear" w:color="auto" w:fill="F3F4F6"/>
          </w:tcPr>
          <w:p>
            <w:pPr>
              <w:spacing w:before="40" w:after="40"/>
            </w:pPr>
            <w:r>
              <w:rPr>
                <w:color w:val="374151"/>
                <w:sz w:val="19"/>
              </w:rPr>
              <w:t>On EPV Cycle</w:t>
            </w:r>
          </w:p>
        </w:tc>
        <w:tc>
          <w:tcPr>
            <w:tcW w:type="dxa" w:w="4873"/>
            <w:shd w:val="clear" w:color="auto" w:fill="F3F4F6"/>
          </w:tcPr>
          <w:p>
            <w:pPr>
              <w:spacing w:before="40" w:after="40"/>
            </w:pPr>
            <w:r>
              <w:rPr>
                <w:color w:val="374151"/>
                <w:sz w:val="19"/>
              </w:rPr>
              <w:t>Facility is on the monthly auto-send schedule.</w:t>
            </w:r>
          </w:p>
        </w:tc>
      </w:tr>
    </w:tbl>
    <w:p/>
    <w:p>
      <w:pPr>
        <w:pStyle w:val="Heading2"/>
      </w:pPr>
      <w:r>
        <w:t>Export to Excel</w:t>
      </w:r>
    </w:p>
    <w:p>
      <w:r>
        <w:rPr>
          <w:color w:val="374151"/>
          <w:sz w:val="21"/>
        </w:rPr>
        <w:t>The Export to Excel button downloads the current search view, including contact details, verified status, cycle status, and assigned inspector. Filename: `Consolidated Master Facility Database - YYYY-MM-DD.xlsx`.</w:t>
      </w:r>
    </w:p>
    <w:p>
      <w:r>
        <w:br w:type="page"/>
      </w:r>
    </w:p>
    <w:p>
      <w:pPr>
        <w:pStyle w:val="Heading1"/>
      </w:pPr>
      <w:r>
        <w:t>Company Overview</w:t>
      </w:r>
    </w:p>
    <w:p>
      <w:pPr>
        <w:pBdr>
          <w:left w:val="single" w:sz="24" w:space="8" w:color="0E7C7B"/>
        </w:pBdr>
        <w:ind w:left="170"/>
      </w:pPr>
      <w:r>
        <w:rPr>
          <w:b/>
          <w:color w:val="0E7C7B"/>
          <w:sz w:val="18"/>
        </w:rPr>
        <w:t xml:space="preserve">IN THIS SECTION  </w:t>
      </w:r>
      <w:r>
        <w:rPr>
          <w:i/>
          <w:color w:val="1F2937"/>
          <w:sz w:val="20"/>
        </w:rPr>
        <w:t>One facility at a time.</w:t>
      </w:r>
    </w:p>
    <w:p>
      <w:r>
        <w:rPr>
          <w:color w:val="374151"/>
          <w:sz w:val="21"/>
        </w:rPr>
        <w:t>From the EPV list you can Resend the Pending email, mark manual reconciliation, and view any invoice ALS has uploaded to the facility.</w:t>
      </w:r>
    </w:p>
    <w:p>
      <w:r>
        <w:rPr>
          <w:color w:val="374151"/>
          <w:sz w:val="21"/>
        </w:rPr>
        <w:t>The Change Log shows every action against this facility for full accountability.</w:t>
      </w:r>
    </w:p>
    <w:p>
      <w:r>
        <w:br w:type="page"/>
      </w:r>
    </w:p>
    <w:p>
      <w:pPr>
        <w:pStyle w:val="Heading1"/>
      </w:pPr>
      <w:r>
        <w:t>Dashboard</w:t>
      </w:r>
    </w:p>
    <w:p>
      <w:pPr>
        <w:pBdr>
          <w:left w:val="single" w:sz="24" w:space="8" w:color="0E7C7B"/>
        </w:pBdr>
        <w:ind w:left="170"/>
      </w:pPr>
      <w:r>
        <w:rPr>
          <w:b/>
          <w:color w:val="0E7C7B"/>
          <w:sz w:val="18"/>
        </w:rPr>
        <w:t xml:space="preserve">IN THIS SECTION  </w:t>
      </w:r>
      <w:r>
        <w:rPr>
          <w:i/>
          <w:color w:val="1F2937"/>
          <w:sz w:val="20"/>
        </w:rPr>
        <w:t>Your single-glance view.</w:t>
      </w:r>
    </w:p>
    <w:p>
      <w:r>
        <w:rPr>
          <w:color w:val="374151"/>
          <w:sz w:val="21"/>
        </w:rPr>
        <w:t>Filterable by Year / Quarter / Month. Every widget follows the filter.</w:t>
      </w:r>
    </w:p>
    <w:p>
      <w:pPr>
        <w:pStyle w:val="Heading2"/>
      </w:pPr>
      <w:r>
        <w:t>The KPIs to watch</w:t>
      </w:r>
    </w:p>
    <w:tbl>
      <w:tblPr>
        <w:tblW w:type="auto" w:w="0"/>
        <w:jc w:val="lef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4873"/>
        <w:gridCol w:w="4873"/>
      </w:tblGrid>
      <w:tr>
        <w:tc>
          <w:tcPr>
            <w:tcW w:type="dxa" w:w="4873"/>
            <w:shd w:val="clear" w:color="auto" w:fill="0E7C7B"/>
          </w:tcPr>
          <w:p>
            <w:pPr>
              <w:spacing w:before="40" w:after="40"/>
            </w:pPr>
            <w:r>
              <w:rPr>
                <w:b/>
                <w:color w:val="FFFFFF"/>
                <w:sz w:val="20"/>
              </w:rPr>
              <w:t>KPI</w:t>
            </w:r>
          </w:p>
        </w:tc>
        <w:tc>
          <w:tcPr>
            <w:tcW w:type="dxa" w:w="4873"/>
            <w:shd w:val="clear" w:color="auto" w:fill="0E7C7B"/>
          </w:tcPr>
          <w:p>
            <w:pPr>
              <w:spacing w:before="40" w:after="40"/>
            </w:pPr>
            <w:r>
              <w:rPr>
                <w:b/>
                <w:color w:val="FFFFFF"/>
                <w:sz w:val="20"/>
              </w:rPr>
              <w:t>Why it matters</w:t>
            </w:r>
          </w:p>
        </w:tc>
      </w:tr>
      <w:tr>
        <w:tc>
          <w:tcPr>
            <w:tcW w:type="dxa" w:w="4873"/>
          </w:tcPr>
          <w:p>
            <w:pPr>
              <w:spacing w:before="40" w:after="40"/>
            </w:pPr>
            <w:r>
              <w:rPr>
                <w:color w:val="374151"/>
                <w:sz w:val="19"/>
              </w:rPr>
              <w:t>Completed EPVs</w:t>
            </w:r>
          </w:p>
        </w:tc>
        <w:tc>
          <w:tcPr>
            <w:tcW w:type="dxa" w:w="4873"/>
          </w:tcPr>
          <w:p>
            <w:pPr>
              <w:spacing w:before="40" w:after="40"/>
            </w:pPr>
            <w:r>
              <w:rPr>
                <w:color w:val="374151"/>
                <w:sz w:val="19"/>
              </w:rPr>
              <w:t>Volume of monthly submissions received.</w:t>
            </w:r>
          </w:p>
        </w:tc>
      </w:tr>
      <w:tr>
        <w:tc>
          <w:tcPr>
            <w:tcW w:type="dxa" w:w="4873"/>
            <w:shd w:val="clear" w:color="auto" w:fill="F3F4F6"/>
          </w:tcPr>
          <w:p>
            <w:pPr>
              <w:spacing w:before="40" w:after="40"/>
            </w:pPr>
            <w:r>
              <w:rPr>
                <w:color w:val="374151"/>
                <w:sz w:val="19"/>
              </w:rPr>
              <w:t>Verified</w:t>
            </w:r>
          </w:p>
        </w:tc>
        <w:tc>
          <w:tcPr>
            <w:tcW w:type="dxa" w:w="4873"/>
            <w:shd w:val="clear" w:color="auto" w:fill="F3F4F6"/>
          </w:tcPr>
          <w:p>
            <w:pPr>
              <w:spacing w:before="40" w:after="40"/>
            </w:pPr>
            <w:r>
              <w:rPr>
                <w:color w:val="374151"/>
                <w:sz w:val="19"/>
              </w:rPr>
              <w:t>How many are ready for invoicing by ALS.</w:t>
            </w:r>
          </w:p>
        </w:tc>
      </w:tr>
      <w:tr>
        <w:tc>
          <w:tcPr>
            <w:tcW w:type="dxa" w:w="4873"/>
          </w:tcPr>
          <w:p>
            <w:pPr>
              <w:spacing w:before="40" w:after="40"/>
            </w:pPr>
            <w:r>
              <w:rPr>
                <w:color w:val="374151"/>
                <w:sz w:val="19"/>
              </w:rPr>
              <w:t>Rejections</w:t>
            </w:r>
          </w:p>
        </w:tc>
        <w:tc>
          <w:tcPr>
            <w:tcW w:type="dxa" w:w="4873"/>
          </w:tcPr>
          <w:p>
            <w:pPr>
              <w:spacing w:before="40" w:after="40"/>
            </w:pPr>
            <w:r>
              <w:rPr>
                <w:color w:val="374151"/>
                <w:sz w:val="19"/>
              </w:rPr>
              <w:t>Where the inspection process caught issues.</w:t>
            </w:r>
          </w:p>
        </w:tc>
      </w:tr>
      <w:tr>
        <w:tc>
          <w:tcPr>
            <w:tcW w:type="dxa" w:w="4873"/>
            <w:shd w:val="clear" w:color="auto" w:fill="F3F4F6"/>
          </w:tcPr>
          <w:p>
            <w:pPr>
              <w:spacing w:before="40" w:after="40"/>
            </w:pPr>
            <w:r>
              <w:rPr>
                <w:color w:val="374151"/>
                <w:sz w:val="19"/>
              </w:rPr>
              <w:t>Outstanding</w:t>
            </w:r>
          </w:p>
        </w:tc>
        <w:tc>
          <w:tcPr>
            <w:tcW w:type="dxa" w:w="4873"/>
            <w:shd w:val="clear" w:color="auto" w:fill="F3F4F6"/>
          </w:tcPr>
          <w:p>
            <w:pPr>
              <w:spacing w:before="40" w:after="40"/>
            </w:pPr>
            <w:r>
              <w:rPr>
                <w:color w:val="374151"/>
                <w:sz w:val="19"/>
              </w:rPr>
              <w:t>Facilities that missed a submission this period.</w:t>
            </w:r>
          </w:p>
        </w:tc>
      </w:tr>
      <w:tr>
        <w:tc>
          <w:tcPr>
            <w:tcW w:type="dxa" w:w="4873"/>
          </w:tcPr>
          <w:p>
            <w:pPr>
              <w:spacing w:before="40" w:after="40"/>
            </w:pPr>
            <w:r>
              <w:rPr>
                <w:color w:val="374151"/>
                <w:sz w:val="19"/>
              </w:rPr>
              <w:t>Collection Rate</w:t>
            </w:r>
          </w:p>
        </w:tc>
        <w:tc>
          <w:tcPr>
            <w:tcW w:type="dxa" w:w="4873"/>
          </w:tcPr>
          <w:p>
            <w:pPr>
              <w:spacing w:before="40" w:after="40"/>
            </w:pPr>
            <w:r>
              <w:rPr>
                <w:color w:val="374151"/>
                <w:sz w:val="19"/>
              </w:rPr>
              <w:t>How much of what was billed has actually been paid.</w:t>
            </w:r>
          </w:p>
        </w:tc>
      </w:tr>
    </w:tbl>
    <w:p/>
    <w:p>
      <w:r>
        <w:br w:type="page"/>
      </w:r>
    </w:p>
    <w:p>
      <w:pPr>
        <w:pStyle w:val="Heading1"/>
      </w:pPr>
      <w:r>
        <w:t>Administrators (reconciliation)</w:t>
      </w:r>
    </w:p>
    <w:p>
      <w:pPr>
        <w:pBdr>
          <w:left w:val="single" w:sz="24" w:space="8" w:color="0E7C7B"/>
        </w:pBdr>
        <w:ind w:left="170"/>
      </w:pPr>
      <w:r>
        <w:rPr>
          <w:b/>
          <w:color w:val="0E7C7B"/>
          <w:sz w:val="18"/>
        </w:rPr>
        <w:t xml:space="preserve">IN THIS SECTION  </w:t>
      </w:r>
      <w:r>
        <w:rPr>
          <w:i/>
          <w:color w:val="1F2937"/>
          <w:sz w:val="20"/>
        </w:rPr>
        <w:t>Your daily worksurface.</w:t>
      </w:r>
    </w:p>
    <w:p>
      <w:r>
        <w:rPr>
          <w:color w:val="374151"/>
          <w:sz w:val="21"/>
        </w:rPr>
        <w:t>Every completed EPV appears here with its POP, reconciled status, and amount. Use it to reconcile in batches when payment files arrive.</w:t>
      </w:r>
    </w:p>
    <w:p>
      <w:pPr>
        <w:pStyle w:val="Heading2"/>
      </w:pPr>
      <w:r>
        <w:t>A typical reconciliation session</w:t>
      </w:r>
    </w:p>
    <w:p>
      <w:r>
        <w:rPr>
          <w:b/>
          <w:color w:val="0A5C5B"/>
          <w:sz w:val="21"/>
        </w:rPr>
        <w:t xml:space="preserve">  1.  </w:t>
      </w:r>
      <w:r>
        <w:rPr>
          <w:color w:val="374151"/>
          <w:sz w:val="21"/>
        </w:rPr>
        <w:t>Download the bank statement CSV.</w:t>
      </w:r>
    </w:p>
    <w:p>
      <w:r>
        <w:rPr>
          <w:b/>
          <w:color w:val="0A5C5B"/>
          <w:sz w:val="21"/>
        </w:rPr>
        <w:t xml:space="preserve">  2.  </w:t>
      </w:r>
      <w:r>
        <w:rPr>
          <w:color w:val="374151"/>
          <w:sz w:val="21"/>
        </w:rPr>
        <w:t>On Administrators, sort by POP Uploaded date descending.</w:t>
      </w:r>
    </w:p>
    <w:p>
      <w:r>
        <w:rPr>
          <w:b/>
          <w:color w:val="0A5C5B"/>
          <w:sz w:val="21"/>
        </w:rPr>
        <w:t xml:space="preserve">  3.  </w:t>
      </w:r>
      <w:r>
        <w:rPr>
          <w:color w:val="374151"/>
          <w:sz w:val="21"/>
        </w:rPr>
        <w:t>Match each bank line to an EPV by reference number or amount.</w:t>
      </w:r>
    </w:p>
    <w:p>
      <w:r>
        <w:rPr>
          <w:b/>
          <w:color w:val="0A5C5B"/>
          <w:sz w:val="21"/>
        </w:rPr>
        <w:t xml:space="preserve">  4.  </w:t>
      </w:r>
      <w:r>
        <w:rPr>
          <w:color w:val="374151"/>
          <w:sz w:val="21"/>
        </w:rPr>
        <w:t>Tick Reconciled and enter the amount received.</w:t>
      </w:r>
    </w:p>
    <w:p>
      <w:r>
        <w:rPr>
          <w:b/>
          <w:color w:val="0A5C5B"/>
          <w:sz w:val="21"/>
        </w:rPr>
        <w:t xml:space="preserve">  5.  </w:t>
      </w:r>
      <w:r>
        <w:rPr>
          <w:color w:val="374151"/>
          <w:sz w:val="21"/>
        </w:rPr>
        <w:t>Short pays — enter what was actually received. Outstanding stays visible on the Dashboard.</w:t>
      </w:r>
    </w:p>
    <w:p>
      <w:pPr>
        <w:shd w:val="clear" w:color="auto" w:fill="D1FAE5"/>
        <w:spacing w:before="120" w:after="120"/>
        <w:ind w:left="170" w:right="170"/>
      </w:pPr>
      <w:r>
        <w:rPr>
          <w:b/>
          <w:color w:val="047857"/>
          <w:sz w:val="18"/>
        </w:rPr>
        <w:t xml:space="preserve">TIP  </w:t>
      </w:r>
      <w:r>
        <w:rPr>
          <w:color w:val="1F2937"/>
          <w:sz w:val="20"/>
        </w:rPr>
        <w:t>Use Company Overview to view the POP inline before reconciling. This helps confirm the reference on the bank statement matches the EPV.</w:t>
      </w:r>
    </w:p>
    <w:p>
      <w:r>
        <w:br w:type="page"/>
      </w:r>
    </w:p>
    <w:p>
      <w:pPr>
        <w:pStyle w:val="Heading1"/>
      </w:pPr>
      <w:r>
        <w:t>Inspectors</w:t>
      </w:r>
    </w:p>
    <w:p>
      <w:pPr>
        <w:pBdr>
          <w:left w:val="single" w:sz="24" w:space="8" w:color="0E7C7B"/>
        </w:pBdr>
        <w:ind w:left="170"/>
      </w:pPr>
      <w:r>
        <w:rPr>
          <w:b/>
          <w:color w:val="0E7C7B"/>
          <w:sz w:val="18"/>
        </w:rPr>
        <w:t xml:space="preserve">IN THIS SECTION  </w:t>
      </w:r>
      <w:r>
        <w:rPr>
          <w:i/>
          <w:color w:val="1F2937"/>
          <w:sz w:val="20"/>
        </w:rPr>
        <w:t>Assign, monitor, and support the inspection team.</w:t>
      </w:r>
    </w:p>
    <w:p>
      <w:r>
        <w:rPr>
          <w:color w:val="374151"/>
          <w:sz w:val="21"/>
        </w:rPr>
        <w:t>View inspector workload, KPIs, and progress. Assign inspectors to facilities so incoming EPVs land in the right queue.</w:t>
      </w:r>
    </w:p>
    <w:p>
      <w:r>
        <w:rPr>
          <w:color w:val="374151"/>
          <w:sz w:val="21"/>
        </w:rPr>
        <w:t>Super Admins can also be selected as inspectors for coverage — treat that as a stop-gap rather than a permanent assignment.</w:t>
      </w:r>
    </w:p>
    <w:p>
      <w:r>
        <w:br w:type="page"/>
      </w:r>
    </w:p>
    <w:p>
      <w:pPr>
        <w:pStyle w:val="Heading1"/>
      </w:pPr>
      <w:r>
        <w:t>User Management</w:t>
      </w:r>
    </w:p>
    <w:p>
      <w:pPr>
        <w:pBdr>
          <w:left w:val="single" w:sz="24" w:space="8" w:color="0E7C7B"/>
        </w:pBdr>
        <w:ind w:left="170"/>
      </w:pPr>
      <w:r>
        <w:rPr>
          <w:b/>
          <w:color w:val="0E7C7B"/>
          <w:sz w:val="18"/>
        </w:rPr>
        <w:t xml:space="preserve">IN THIS SECTION  </w:t>
      </w:r>
      <w:r>
        <w:rPr>
          <w:i/>
          <w:color w:val="1F2937"/>
          <w:sz w:val="20"/>
        </w:rPr>
        <w:t>Managing internal users.</w:t>
      </w:r>
    </w:p>
    <w:p>
      <w:r>
        <w:rPr>
          <w:color w:val="374151"/>
          <w:sz w:val="21"/>
        </w:rPr>
        <w:t>Add and manage internal users — Inspectors, other Administrators. Reset passwords and deactivate accounts. The Login History button shows every authentication attempt for audit.</w:t>
      </w:r>
    </w:p>
    <w:p>
      <w:r>
        <w:br w:type="page"/>
      </w:r>
    </w:p>
    <w:p>
      <w:pPr>
        <w:pStyle w:val="Heading1"/>
      </w:pPr>
      <w:r>
        <w:t>Common workflows</w:t>
      </w:r>
    </w:p>
    <w:p>
      <w:pPr>
        <w:pBdr>
          <w:left w:val="single" w:sz="24" w:space="8" w:color="0E7C7B"/>
        </w:pBdr>
        <w:ind w:left="170"/>
      </w:pPr>
      <w:r>
        <w:rPr>
          <w:b/>
          <w:color w:val="0E7C7B"/>
          <w:sz w:val="18"/>
        </w:rPr>
        <w:t xml:space="preserve">IN THIS SECTION  </w:t>
      </w:r>
      <w:r>
        <w:rPr>
          <w:i/>
          <w:color w:val="1F2937"/>
          <w:sz w:val="20"/>
        </w:rPr>
        <w:t>The tasks you do most.</w:t>
      </w:r>
    </w:p>
    <w:p>
      <w:pPr>
        <w:pStyle w:val="Heading2"/>
      </w:pPr>
      <w:r>
        <w:t>Onboarding a facility</w:t>
      </w:r>
    </w:p>
    <w:p>
      <w:r>
        <w:rPr>
          <w:b/>
          <w:color w:val="0A5C5B"/>
          <w:sz w:val="21"/>
        </w:rPr>
        <w:t xml:space="preserve">  1.  </w:t>
      </w:r>
      <w:r>
        <w:rPr>
          <w:color w:val="374151"/>
          <w:sz w:val="21"/>
        </w:rPr>
        <w:t>Master Facility Database → + Add New.</w:t>
      </w:r>
    </w:p>
    <w:p>
      <w:r>
        <w:rPr>
          <w:b/>
          <w:color w:val="0A5C5B"/>
          <w:sz w:val="21"/>
        </w:rPr>
        <w:t xml:space="preserve">  2.  </w:t>
      </w:r>
      <w:r>
        <w:rPr>
          <w:color w:val="374151"/>
          <w:sz w:val="21"/>
        </w:rPr>
        <w:t>Fill Business Name + as many contacts as you have.</w:t>
      </w:r>
    </w:p>
    <w:p>
      <w:r>
        <w:rPr>
          <w:b/>
          <w:color w:val="0A5C5B"/>
          <w:sz w:val="21"/>
        </w:rPr>
        <w:t xml:space="preserve">  3.  </w:t>
      </w:r>
      <w:r>
        <w:rPr>
          <w:color w:val="374151"/>
          <w:sz w:val="21"/>
        </w:rPr>
        <w:t>Invite the Company Admin.</w:t>
      </w:r>
    </w:p>
    <w:p>
      <w:r>
        <w:rPr>
          <w:b/>
          <w:color w:val="0A5C5B"/>
          <w:sz w:val="21"/>
        </w:rPr>
        <w:t xml:space="preserve">  4.  </w:t>
      </w:r>
      <w:r>
        <w:rPr>
          <w:color w:val="374151"/>
          <w:sz w:val="21"/>
        </w:rPr>
        <w:t>When they finish onboarding, click Send EPV.</w:t>
      </w:r>
    </w:p>
    <w:p>
      <w:pPr>
        <w:pStyle w:val="Heading2"/>
      </w:pPr>
      <w:r>
        <w:t>End-of-day reconciliation</w:t>
      </w:r>
    </w:p>
    <w:p>
      <w:r>
        <w:rPr>
          <w:color w:val="374151"/>
          <w:sz w:val="21"/>
        </w:rPr>
        <w:t>Filter Administrators for today's payments. Confirm each is reconciled. Escalate mismatches via a Support ticket.</w:t>
      </w:r>
    </w:p>
    <w:p>
      <w:r>
        <w:br w:type="page"/>
      </w:r>
    </w:p>
    <w:p>
      <w:pPr>
        <w:pStyle w:val="Heading1"/>
      </w:pPr>
      <w:r>
        <w:t>Getting help</w:t>
      </w:r>
    </w:p>
    <w:p>
      <w:pPr>
        <w:pBdr>
          <w:left w:val="single" w:sz="24" w:space="8" w:color="0E7C7B"/>
        </w:pBdr>
        <w:ind w:left="170"/>
      </w:pPr>
      <w:r>
        <w:rPr>
          <w:b/>
          <w:color w:val="0E7C7B"/>
          <w:sz w:val="18"/>
        </w:rPr>
        <w:t xml:space="preserve">IN THIS SECTION  </w:t>
      </w:r>
      <w:r>
        <w:rPr>
          <w:i/>
          <w:color w:val="1F2937"/>
          <w:sz w:val="20"/>
        </w:rPr>
        <w:t>Where to reach out when something isn't working, and where to look for answers on your own.</w:t>
      </w:r>
    </w:p>
    <w:p>
      <w:pPr>
        <w:pStyle w:val="Heading2"/>
      </w:pPr>
      <w:r>
        <w:t>Inside EPVS</w:t>
      </w:r>
    </w:p>
    <w:p>
      <w:r>
        <w:rPr>
          <w:color w:val="374151"/>
          <w:sz w:val="21"/>
        </w:rPr>
        <w:t>Every page has a Support link in the top ribbon and a floating help button in the bottom-right corner. Click either to raise a ticket. Support tickets are triaged by category (Access, EPV Submission, Payment, Dashboard, Company &amp; Facility, or General) and priority (Low, Medium, High, Urgent).</w:t>
      </w:r>
    </w:p>
    <w:p>
      <w:r>
        <w:rPr>
          <w:color w:val="374151"/>
          <w:sz w:val="21"/>
        </w:rPr>
        <w:t>You will get email updates as your ticket moves through Open → In Progress → Resolved. Follow-up comments can be added on the ticket at any time.</w:t>
      </w:r>
    </w:p>
    <w:p>
      <w:pPr>
        <w:pStyle w:val="Heading2"/>
      </w:pPr>
      <w:r>
        <w:t>The User Manual button</w:t>
      </w:r>
    </w:p>
    <w:p>
      <w:r>
        <w:rPr>
          <w:color w:val="374151"/>
          <w:sz w:val="21"/>
        </w:rPr>
        <w:t>The "User Manual" button in the top ribbon downloads this guide as a PDF at any time. Useful for offline reading, printing, or forwarding to a colleague.</w:t>
      </w:r>
    </w:p>
    <w:p>
      <w:pPr>
        <w:pStyle w:val="Heading1"/>
      </w:pPr>
      <w:r>
        <w:t>Glossary</w:t>
      </w:r>
    </w:p>
    <w:p>
      <w:pPr>
        <w:pBdr>
          <w:left w:val="single" w:sz="24" w:space="8" w:color="0E7C7B"/>
        </w:pBdr>
        <w:ind w:left="170"/>
      </w:pPr>
      <w:r>
        <w:rPr>
          <w:b/>
          <w:color w:val="0E7C7B"/>
          <w:sz w:val="18"/>
        </w:rPr>
        <w:t xml:space="preserve">IN THIS SECTION  </w:t>
      </w:r>
      <w:r>
        <w:rPr>
          <w:i/>
          <w:color w:val="1F2937"/>
          <w:sz w:val="20"/>
        </w:rPr>
        <w:t>The vocabulary this manual uses.</w:t>
      </w:r>
    </w:p>
    <w:tbl>
      <w:tblPr>
        <w:tblW w:type="auto" w:w="0"/>
        <w:jc w:val="lef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4873"/>
        <w:gridCol w:w="4873"/>
      </w:tblGrid>
      <w:tr>
        <w:tc>
          <w:tcPr>
            <w:tcW w:type="dxa" w:w="4873"/>
            <w:shd w:val="clear" w:color="auto" w:fill="0E7C7B"/>
          </w:tcPr>
          <w:p>
            <w:pPr>
              <w:spacing w:before="40" w:after="40"/>
            </w:pPr>
            <w:r>
              <w:rPr>
                <w:b/>
                <w:color w:val="FFFFFF"/>
                <w:sz w:val="20"/>
              </w:rPr>
              <w:t>Term</w:t>
            </w:r>
          </w:p>
        </w:tc>
        <w:tc>
          <w:tcPr>
            <w:tcW w:type="dxa" w:w="4873"/>
            <w:shd w:val="clear" w:color="auto" w:fill="0E7C7B"/>
          </w:tcPr>
          <w:p>
            <w:pPr>
              <w:spacing w:before="40" w:after="40"/>
            </w:pPr>
            <w:r>
              <w:rPr>
                <w:b/>
                <w:color w:val="FFFFFF"/>
                <w:sz w:val="20"/>
              </w:rPr>
              <w:t>Meaning</w:t>
            </w:r>
          </w:p>
        </w:tc>
      </w:tr>
      <w:tr>
        <w:tc>
          <w:tcPr>
            <w:tcW w:type="dxa" w:w="4873"/>
          </w:tcPr>
          <w:p>
            <w:pPr>
              <w:spacing w:before="40" w:after="40"/>
            </w:pPr>
            <w:r>
              <w:rPr>
                <w:color w:val="374151"/>
                <w:sz w:val="19"/>
              </w:rPr>
              <w:t>EPV</w:t>
            </w:r>
          </w:p>
        </w:tc>
        <w:tc>
          <w:tcPr>
            <w:tcW w:type="dxa" w:w="4873"/>
          </w:tcPr>
          <w:p>
            <w:pPr>
              <w:spacing w:before="40" w:after="40"/>
            </w:pPr>
            <w:r>
              <w:rPr>
                <w:color w:val="374151"/>
                <w:sz w:val="19"/>
              </w:rPr>
              <w:t>Egg Production Verification — the monthly declaration each facility submits.</w:t>
            </w:r>
          </w:p>
        </w:tc>
      </w:tr>
      <w:tr>
        <w:tc>
          <w:tcPr>
            <w:tcW w:type="dxa" w:w="4873"/>
            <w:shd w:val="clear" w:color="auto" w:fill="F3F4F6"/>
          </w:tcPr>
          <w:p>
            <w:pPr>
              <w:spacing w:before="40" w:after="40"/>
            </w:pPr>
            <w:r>
              <w:rPr>
                <w:color w:val="374151"/>
                <w:sz w:val="19"/>
              </w:rPr>
              <w:t>Levy</w:t>
            </w:r>
          </w:p>
        </w:tc>
        <w:tc>
          <w:tcPr>
            <w:tcW w:type="dxa" w:w="4873"/>
            <w:shd w:val="clear" w:color="auto" w:fill="F3F4F6"/>
          </w:tcPr>
          <w:p>
            <w:pPr>
              <w:spacing w:before="40" w:after="40"/>
            </w:pPr>
            <w:r>
              <w:rPr>
                <w:color w:val="374151"/>
                <w:sz w:val="19"/>
              </w:rPr>
              <w:t>Statutory levy owed on eggs, pulp, and powder sold to trade.</w:t>
            </w:r>
          </w:p>
        </w:tc>
      </w:tr>
      <w:tr>
        <w:tc>
          <w:tcPr>
            <w:tcW w:type="dxa" w:w="4873"/>
          </w:tcPr>
          <w:p>
            <w:pPr>
              <w:spacing w:before="40" w:after="40"/>
            </w:pPr>
            <w:r>
              <w:rPr>
                <w:color w:val="374151"/>
                <w:sz w:val="19"/>
              </w:rPr>
              <w:t>Facility</w:t>
            </w:r>
          </w:p>
        </w:tc>
        <w:tc>
          <w:tcPr>
            <w:tcW w:type="dxa" w:w="4873"/>
          </w:tcPr>
          <w:p>
            <w:pPr>
              <w:spacing w:before="40" w:after="40"/>
            </w:pPr>
            <w:r>
              <w:rPr>
                <w:color w:val="374151"/>
                <w:sz w:val="19"/>
              </w:rPr>
              <w:t>A registered producer, packer, or breaking-plant on the system.</w:t>
            </w:r>
          </w:p>
        </w:tc>
      </w:tr>
      <w:tr>
        <w:tc>
          <w:tcPr>
            <w:tcW w:type="dxa" w:w="4873"/>
            <w:shd w:val="clear" w:color="auto" w:fill="F3F4F6"/>
          </w:tcPr>
          <w:p>
            <w:pPr>
              <w:spacing w:before="40" w:after="40"/>
            </w:pPr>
            <w:r>
              <w:rPr>
                <w:color w:val="374151"/>
                <w:sz w:val="19"/>
              </w:rPr>
              <w:t>ALS</w:t>
            </w:r>
          </w:p>
        </w:tc>
        <w:tc>
          <w:tcPr>
            <w:tcW w:type="dxa" w:w="4873"/>
            <w:shd w:val="clear" w:color="auto" w:fill="F3F4F6"/>
          </w:tcPr>
          <w:p>
            <w:pPr>
              <w:spacing w:before="40" w:after="40"/>
            </w:pPr>
            <w:r>
              <w:rPr>
                <w:color w:val="374151"/>
                <w:sz w:val="19"/>
              </w:rPr>
              <w:t>The 3rd-party levy collector (previously called "Super" in older releases).</w:t>
            </w:r>
          </w:p>
        </w:tc>
      </w:tr>
      <w:tr>
        <w:tc>
          <w:tcPr>
            <w:tcW w:type="dxa" w:w="4873"/>
          </w:tcPr>
          <w:p>
            <w:pPr>
              <w:spacing w:before="40" w:after="40"/>
            </w:pPr>
            <w:r>
              <w:rPr>
                <w:color w:val="374151"/>
                <w:sz w:val="19"/>
              </w:rPr>
              <w:t>Inspector</w:t>
            </w:r>
          </w:p>
        </w:tc>
        <w:tc>
          <w:tcPr>
            <w:tcW w:type="dxa" w:w="4873"/>
          </w:tcPr>
          <w:p>
            <w:pPr>
              <w:spacing w:before="40" w:after="40"/>
            </w:pPr>
            <w:r>
              <w:rPr>
                <w:color w:val="374151"/>
                <w:sz w:val="19"/>
              </w:rPr>
              <w:t>ALS Food Safety Agency staff who verify facility EPVs.</w:t>
            </w:r>
          </w:p>
        </w:tc>
      </w:tr>
      <w:tr>
        <w:tc>
          <w:tcPr>
            <w:tcW w:type="dxa" w:w="4873"/>
            <w:shd w:val="clear" w:color="auto" w:fill="F3F4F6"/>
          </w:tcPr>
          <w:p>
            <w:pPr>
              <w:spacing w:before="40" w:after="40"/>
            </w:pPr>
            <w:r>
              <w:rPr>
                <w:color w:val="374151"/>
                <w:sz w:val="19"/>
              </w:rPr>
              <w:t>Reconciled</w:t>
            </w:r>
          </w:p>
        </w:tc>
        <w:tc>
          <w:tcPr>
            <w:tcW w:type="dxa" w:w="4873"/>
            <w:shd w:val="clear" w:color="auto" w:fill="F3F4F6"/>
          </w:tcPr>
          <w:p>
            <w:pPr>
              <w:spacing w:before="40" w:after="40"/>
            </w:pPr>
            <w:r>
              <w:rPr>
                <w:color w:val="374151"/>
                <w:sz w:val="19"/>
              </w:rPr>
              <w:t>A payment has been received and matched to an EPV.</w:t>
            </w:r>
          </w:p>
        </w:tc>
      </w:tr>
      <w:tr>
        <w:tc>
          <w:tcPr>
            <w:tcW w:type="dxa" w:w="4873"/>
          </w:tcPr>
          <w:p>
            <w:pPr>
              <w:spacing w:before="40" w:after="40"/>
            </w:pPr>
            <w:r>
              <w:rPr>
                <w:color w:val="374151"/>
                <w:sz w:val="19"/>
              </w:rPr>
              <w:t>POP</w:t>
            </w:r>
          </w:p>
        </w:tc>
        <w:tc>
          <w:tcPr>
            <w:tcW w:type="dxa" w:w="4873"/>
          </w:tcPr>
          <w:p>
            <w:pPr>
              <w:spacing w:before="40" w:after="40"/>
            </w:pPr>
            <w:r>
              <w:rPr>
                <w:color w:val="374151"/>
                <w:sz w:val="19"/>
              </w:rPr>
              <w:t>Proof of Payment — the bank confirmation the facility uploads after paying.</w:t>
            </w:r>
          </w:p>
        </w:tc>
      </w:tr>
      <w:tr>
        <w:tc>
          <w:tcPr>
            <w:tcW w:type="dxa" w:w="4873"/>
            <w:shd w:val="clear" w:color="auto" w:fill="F3F4F6"/>
          </w:tcPr>
          <w:p>
            <w:pPr>
              <w:spacing w:before="40" w:after="40"/>
            </w:pPr>
            <w:r>
              <w:rPr>
                <w:color w:val="374151"/>
                <w:sz w:val="19"/>
              </w:rPr>
              <w:t>On EPV Cycle</w:t>
            </w:r>
          </w:p>
        </w:tc>
        <w:tc>
          <w:tcPr>
            <w:tcW w:type="dxa" w:w="4873"/>
            <w:shd w:val="clear" w:color="auto" w:fill="F3F4F6"/>
          </w:tcPr>
          <w:p>
            <w:pPr>
              <w:spacing w:before="40" w:after="40"/>
            </w:pPr>
            <w:r>
              <w:rPr>
                <w:color w:val="374151"/>
                <w:sz w:val="19"/>
              </w:rPr>
              <w:t>A facility that receives the monthly EPV email automatically.</w:t>
            </w:r>
          </w:p>
        </w:tc>
      </w:tr>
      <w:tr>
        <w:tc>
          <w:tcPr>
            <w:tcW w:type="dxa" w:w="4873"/>
          </w:tcPr>
          <w:p>
            <w:pPr>
              <w:spacing w:before="40" w:after="40"/>
            </w:pPr>
            <w:r>
              <w:rPr>
                <w:color w:val="374151"/>
                <w:sz w:val="19"/>
              </w:rPr>
              <w:t>Verified (badge)</w:t>
            </w:r>
          </w:p>
        </w:tc>
        <w:tc>
          <w:tcPr>
            <w:tcW w:type="dxa" w:w="4873"/>
          </w:tcPr>
          <w:p>
            <w:pPr>
              <w:spacing w:before="40" w:after="40"/>
            </w:pPr>
            <w:r>
              <w:rPr>
                <w:color w:val="374151"/>
                <w:sz w:val="19"/>
              </w:rPr>
              <w:t>A facility whose Company Admin has completed the onboarding wizard.</w:t>
            </w:r>
          </w:p>
        </w:tc>
      </w:tr>
    </w:tbl>
    <w:p/>
    <w:p>
      <w:r>
        <w:br w:type="page"/>
      </w:r>
    </w:p>
    <w:p>
      <w:pPr>
        <w:pStyle w:val="Heading1"/>
      </w:pPr>
      <w:r>
        <w:t>How the levy is calculated</w:t>
      </w:r>
    </w:p>
    <w:p>
      <w:pPr>
        <w:pBdr>
          <w:left w:val="single" w:sz="24" w:space="8" w:color="0E7C7B"/>
        </w:pBdr>
        <w:ind w:left="170"/>
      </w:pPr>
      <w:r>
        <w:rPr>
          <w:b/>
          <w:color w:val="0E7C7B"/>
          <w:sz w:val="18"/>
        </w:rPr>
        <w:t xml:space="preserve">IN THIS SECTION  </w:t>
      </w:r>
      <w:r>
        <w:rPr>
          <w:i/>
          <w:color w:val="1F2937"/>
          <w:sz w:val="20"/>
        </w:rPr>
        <w:t>The maths behind every invoice. Trade sales are what count. All amounts exclude VAT.</w:t>
      </w:r>
    </w:p>
    <w:p>
      <w:pPr>
        <w:shd w:val="clear" w:color="auto" w:fill="FEE2E2"/>
        <w:spacing w:before="120" w:after="120"/>
        <w:ind w:left="170" w:right="170"/>
      </w:pPr>
      <w:r>
        <w:rPr>
          <w:b/>
          <w:color w:val="DC2626"/>
          <w:sz w:val="18"/>
        </w:rPr>
        <w:t xml:space="preserve">EXCL. VAT  </w:t>
      </w:r>
      <w:r>
        <w:rPr>
          <w:color w:val="1F2937"/>
          <w:sz w:val="20"/>
        </w:rPr>
        <w:t>ALL Rand amounts anywhere in EPVS are stored and displayed EXCLUSIVE of VAT. The statutory levy is calculated on the pre-VAT sales-to-trade quantities. VAT is added separately by ALS on the invoice they send you.</w:t>
      </w:r>
    </w:p>
    <w:tbl>
      <w:tblPr>
        <w:tblW w:type="auto" w:w="0"/>
        <w:jc w:val="left"/>
        <w:tblLook w:firstColumn="1" w:firstRow="1" w:lastColumn="0" w:lastRow="0" w:noHBand="0" w:noVBand="1" w:val="04A0"/>
        <w:tblBorders>
          <w:top w:val="single" w:sz="4" w:color="D1D5DB"/>
          <w:left w:val="single" w:sz="4" w:color="D1D5DB"/>
          <w:bottom w:val="single" w:sz="4" w:color="D1D5DB"/>
          <w:right w:val="single" w:sz="4" w:color="D1D5DB"/>
          <w:insideH w:val="single" w:sz="4" w:color="D1D5DB"/>
          <w:insideV w:val="single" w:sz="4" w:color="D1D5DB"/>
        </w:tblBorders>
      </w:tblPr>
      <w:tblGrid>
        <w:gridCol w:w="2436"/>
        <w:gridCol w:w="2436"/>
        <w:gridCol w:w="2436"/>
        <w:gridCol w:w="2436"/>
      </w:tblGrid>
      <w:tr>
        <w:tc>
          <w:tcPr>
            <w:tcW w:type="dxa" w:w="2436"/>
            <w:shd w:val="clear" w:color="auto" w:fill="0E7C7B"/>
          </w:tcPr>
          <w:p>
            <w:pPr>
              <w:spacing w:before="40" w:after="40"/>
            </w:pPr>
            <w:r>
              <w:rPr>
                <w:b/>
                <w:color w:val="FFFFFF"/>
                <w:sz w:val="20"/>
              </w:rPr>
              <w:t>Product</w:t>
            </w:r>
          </w:p>
        </w:tc>
        <w:tc>
          <w:tcPr>
            <w:tcW w:type="dxa" w:w="2436"/>
            <w:shd w:val="clear" w:color="auto" w:fill="0E7C7B"/>
          </w:tcPr>
          <w:p>
            <w:pPr>
              <w:spacing w:before="40" w:after="40"/>
            </w:pPr>
            <w:r>
              <w:rPr>
                <w:b/>
                <w:color w:val="FFFFFF"/>
                <w:sz w:val="20"/>
              </w:rPr>
              <w:t>Basis</w:t>
            </w:r>
          </w:p>
        </w:tc>
        <w:tc>
          <w:tcPr>
            <w:tcW w:type="dxa" w:w="2436"/>
            <w:shd w:val="clear" w:color="auto" w:fill="0E7C7B"/>
          </w:tcPr>
          <w:p>
            <w:pPr>
              <w:spacing w:before="40" w:after="40"/>
            </w:pPr>
            <w:r>
              <w:rPr>
                <w:b/>
                <w:color w:val="FFFFFF"/>
                <w:sz w:val="20"/>
              </w:rPr>
              <w:t>Rate (excl VAT)</w:t>
            </w:r>
          </w:p>
        </w:tc>
        <w:tc>
          <w:tcPr>
            <w:tcW w:type="dxa" w:w="2436"/>
            <w:shd w:val="clear" w:color="auto" w:fill="0E7C7B"/>
          </w:tcPr>
          <w:p>
            <w:pPr>
              <w:spacing w:before="40" w:after="40"/>
            </w:pPr>
            <w:r>
              <w:rPr>
                <w:b/>
                <w:color w:val="FFFFFF"/>
                <w:sz w:val="20"/>
              </w:rPr>
              <w:t>Formula</w:t>
            </w:r>
          </w:p>
        </w:tc>
      </w:tr>
      <w:tr>
        <w:tc>
          <w:tcPr>
            <w:tcW w:type="dxa" w:w="2436"/>
          </w:tcPr>
          <w:p>
            <w:pPr>
              <w:spacing w:before="40" w:after="40"/>
            </w:pPr>
            <w:r>
              <w:rPr>
                <w:color w:val="374151"/>
                <w:sz w:val="19"/>
              </w:rPr>
              <w:t>Eggs</w:t>
            </w:r>
          </w:p>
        </w:tc>
        <w:tc>
          <w:tcPr>
            <w:tcW w:type="dxa" w:w="2436"/>
          </w:tcPr>
          <w:p>
            <w:pPr>
              <w:spacing w:before="40" w:after="40"/>
            </w:pPr>
            <w:r>
              <w:rPr>
                <w:color w:val="374151"/>
                <w:sz w:val="19"/>
              </w:rPr>
              <w:t>Dozens sold to trade</w:t>
            </w:r>
          </w:p>
        </w:tc>
        <w:tc>
          <w:tcPr>
            <w:tcW w:type="dxa" w:w="2436"/>
          </w:tcPr>
          <w:p>
            <w:pPr>
              <w:spacing w:before="40" w:after="40"/>
            </w:pPr>
            <w:r>
              <w:rPr>
                <w:color w:val="374151"/>
                <w:sz w:val="19"/>
              </w:rPr>
              <w:t>R 0.020 / dozen</w:t>
            </w:r>
          </w:p>
        </w:tc>
        <w:tc>
          <w:tcPr>
            <w:tcW w:type="dxa" w:w="2436"/>
          </w:tcPr>
          <w:p>
            <w:pPr>
              <w:spacing w:before="40" w:after="40"/>
            </w:pPr>
            <w:r>
              <w:rPr>
                <w:color w:val="374151"/>
                <w:sz w:val="19"/>
              </w:rPr>
              <w:t>SoldToTrade × 0.020</w:t>
            </w:r>
          </w:p>
        </w:tc>
      </w:tr>
      <w:tr>
        <w:tc>
          <w:tcPr>
            <w:tcW w:type="dxa" w:w="2436"/>
            <w:shd w:val="clear" w:color="auto" w:fill="F3F4F6"/>
          </w:tcPr>
          <w:p>
            <w:pPr>
              <w:spacing w:before="40" w:after="40"/>
            </w:pPr>
            <w:r>
              <w:rPr>
                <w:color w:val="374151"/>
                <w:sz w:val="19"/>
              </w:rPr>
              <w:t>Pulp</w:t>
            </w:r>
          </w:p>
        </w:tc>
        <w:tc>
          <w:tcPr>
            <w:tcW w:type="dxa" w:w="2436"/>
            <w:shd w:val="clear" w:color="auto" w:fill="F3F4F6"/>
          </w:tcPr>
          <w:p>
            <w:pPr>
              <w:spacing w:before="40" w:after="40"/>
            </w:pPr>
            <w:r>
              <w:rPr>
                <w:color w:val="374151"/>
                <w:sz w:val="19"/>
              </w:rPr>
              <w:t>kg sold to trade → dozens at 1.7</w:t>
            </w:r>
          </w:p>
        </w:tc>
        <w:tc>
          <w:tcPr>
            <w:tcW w:type="dxa" w:w="2436"/>
            <w:shd w:val="clear" w:color="auto" w:fill="F3F4F6"/>
          </w:tcPr>
          <w:p>
            <w:pPr>
              <w:spacing w:before="40" w:after="40"/>
            </w:pPr>
            <w:r>
              <w:rPr>
                <w:color w:val="374151"/>
                <w:sz w:val="19"/>
              </w:rPr>
              <w:t>R 0.020 / dozen (R 0.034 / kg)</w:t>
            </w:r>
          </w:p>
        </w:tc>
        <w:tc>
          <w:tcPr>
            <w:tcW w:type="dxa" w:w="2436"/>
            <w:shd w:val="clear" w:color="auto" w:fill="F3F4F6"/>
          </w:tcPr>
          <w:p>
            <w:pPr>
              <w:spacing w:before="40" w:after="40"/>
            </w:pPr>
            <w:r>
              <w:rPr>
                <w:color w:val="374151"/>
                <w:sz w:val="19"/>
              </w:rPr>
              <w:t>PulpSoldToTrade × 1.7 × 0.020</w:t>
            </w:r>
          </w:p>
        </w:tc>
      </w:tr>
      <w:tr>
        <w:tc>
          <w:tcPr>
            <w:tcW w:type="dxa" w:w="2436"/>
          </w:tcPr>
          <w:p>
            <w:pPr>
              <w:spacing w:before="40" w:after="40"/>
            </w:pPr>
            <w:r>
              <w:rPr>
                <w:color w:val="374151"/>
                <w:sz w:val="19"/>
              </w:rPr>
              <w:t>Powder</w:t>
            </w:r>
          </w:p>
        </w:tc>
        <w:tc>
          <w:tcPr>
            <w:tcW w:type="dxa" w:w="2436"/>
          </w:tcPr>
          <w:p>
            <w:pPr>
              <w:spacing w:before="40" w:after="40"/>
            </w:pPr>
            <w:r>
              <w:rPr>
                <w:color w:val="374151"/>
                <w:sz w:val="19"/>
              </w:rPr>
              <w:t>kg sold to trade</w:t>
            </w:r>
          </w:p>
        </w:tc>
        <w:tc>
          <w:tcPr>
            <w:tcW w:type="dxa" w:w="2436"/>
          </w:tcPr>
          <w:p>
            <w:pPr>
              <w:spacing w:before="40" w:after="40"/>
            </w:pPr>
            <w:r>
              <w:rPr>
                <w:color w:val="374151"/>
                <w:sz w:val="19"/>
              </w:rPr>
              <w:t>R 0.020 / kg</w:t>
            </w:r>
          </w:p>
        </w:tc>
        <w:tc>
          <w:tcPr>
            <w:tcW w:type="dxa" w:w="2436"/>
          </w:tcPr>
          <w:p>
            <w:pPr>
              <w:spacing w:before="40" w:after="40"/>
            </w:pPr>
            <w:r>
              <w:rPr>
                <w:color w:val="374151"/>
                <w:sz w:val="19"/>
              </w:rPr>
              <w:t>PowderSoldToTrade × 0.020</w:t>
            </w:r>
          </w:p>
        </w:tc>
      </w:tr>
    </w:tbl>
    <w:p/>
    <w:p>
      <w:r>
        <w:rPr>
          <w:color w:val="374151"/>
          <w:sz w:val="21"/>
        </w:rPr>
        <w:t>These fields are recorded so your closing stock balances, but they DO NOT contribute to the levy: sales to staff, sales through a farm stall, transfers to other producers, pulp / powder sold to other producers, market returns, machine loss, sent-to-pulp, destroyed, exported, and conversion loss.</w:t>
      </w:r>
    </w:p>
    <w:sectPr w:rsidR="00FC693F" w:rsidRPr="0006063C" w:rsidSect="00034616">
      <w:footerReference w:type="default" r:id="rId9"/>
      <w:pgSz w:w="12240" w:h="15840"/>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i/>
        <w:color w:val="6B7280"/>
        <w:sz w:val="18"/>
      </w:rPr>
      <w:t>Administrator Manual   |   EPVS · ALS Food Safety Agency</w:t>
    </w:r>
    <w:r>
      <w:tab/>
      <w:tab/>
    </w:r>
    <w:r>
      <w:rPr>
        <w:color w:val="6B7280"/>
        <w:sz w:val="18"/>
      </w:rPr>
      <w:fldChar w:fldCharType="begin"/>
      <w:instrText xml:space="preserve">PAGE</w:instrText>
      <w:fldChar w:fldCharType="end"/>
    </w:r>
    <w:r>
      <w:rPr>
        <w:color w:val="6B7280"/>
        <w:sz w:val="18"/>
      </w:rPr>
      <w:t xml:space="preserve"> of </w:t>
    </w:r>
    <w:r>
      <w:rPr>
        <w:color w:val="6B7280"/>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37415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0E7C7B"/>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0A5C5B"/>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1F293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egoe UI" w:hAnsi="Segoe UI"/>
      <w:b/>
      <w:color w:val="0E7C7B"/>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Segoe UI" w:hAnsi="Segoe UI"/>
      <w:b w:val="0"/>
      <w:i/>
      <w:iCs/>
      <w:color w:val="6B728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