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E7C7B"/>
          <w:sz w:val="144"/>
        </w:rPr>
        <w:t>EPVS</w:t>
      </w:r>
    </w:p>
    <w:p>
      <w:pPr>
        <w:jc w:val="center"/>
      </w:pPr>
      <w:r>
        <w:rPr>
          <w:color w:val="6B7280"/>
          <w:sz w:val="28"/>
        </w:rPr>
        <w:t>Egg Production Verification System</w:t>
      </w:r>
    </w:p>
    <w:p>
      <w:pPr>
        <w:spacing w:before="1200"/>
        <w:jc w:val="center"/>
      </w:pPr>
      <w:r>
        <w:rPr>
          <w:b/>
          <w:color w:val="1F2937"/>
          <w:sz w:val="60"/>
        </w:rPr>
        <w:t>Process Flow Documentation</w:t>
      </w:r>
    </w:p>
    <w:p>
      <w:pPr>
        <w:jc w:val="center"/>
      </w:pPr>
      <w:r>
        <w:rPr>
          <w:i/>
          <w:color w:val="6B7280"/>
          <w:sz w:val="28"/>
        </w:rPr>
        <w:t>End-to-end EPV lifecycle across every role</w:t>
      </w:r>
    </w:p>
    <w:p>
      <w:pPr>
        <w:spacing w:before="2000"/>
        <w:jc w:val="center"/>
      </w:pPr>
      <w:r>
        <w:rPr>
          <w:color w:val="0A5C5B"/>
          <w:sz w:val="24"/>
        </w:rPr>
        <w:t>Audience: System documentation — internal reference</w:t>
      </w:r>
    </w:p>
    <w:p>
      <w:pPr>
        <w:jc w:val="center"/>
      </w:pPr>
      <w:r>
        <w:rPr>
          <w:color w:val="6B7280"/>
          <w:sz w:val="22"/>
        </w:rPr>
        <w:t>Edition April 2026</w:t>
      </w:r>
    </w:p>
    <w:p>
      <w:pPr>
        <w:spacing w:before="1200"/>
        <w:jc w:val="center"/>
      </w:pPr>
      <w:r>
        <w:rPr>
          <w:b/>
          <w:color w:val="0E7C7B"/>
          <w:sz w:val="22"/>
        </w:rPr>
        <w:t>ALS Food Safety Agency</w:t>
      </w:r>
    </w:p>
    <w:p>
      <w:pPr>
        <w:spacing w:before="120"/>
        <w:jc w:val="center"/>
      </w:pPr>
      <w:r>
        <w:rPr>
          <w:b/>
          <w:color w:val="DC2626"/>
          <w:sz w:val="22"/>
        </w:rPr>
        <w:t>All amounts throughout EPVS are shown EXCLUSIVE of VAT.</w:t>
      </w:r>
    </w:p>
    <w:p>
      <w:r>
        <w:br w:type="page"/>
      </w:r>
    </w:p>
    <w:p>
      <w:pPr>
        <w:pStyle w:val="Heading1"/>
      </w:pPr>
      <w:r>
        <w:t>Table of Contents</w:t>
      </w:r>
    </w:p>
    <w:p>
      <w:r>
        <w:rPr>
          <w:color w:val="374151"/>
          <w:sz w:val="21"/>
        </w:rPr>
        <w:t>This document uses a Word Table of Contents. To fill it in, right-click below and choose "Update Field" (or press F9). All headings you see through the guide are included.</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t>Overview</w:t>
      </w:r>
    </w:p>
    <w:p>
      <w:pPr>
        <w:pBdr>
          <w:left w:val="single" w:sz="24" w:space="8" w:color="0E7C7B"/>
        </w:pBdr>
        <w:ind w:left="170"/>
      </w:pPr>
      <w:r>
        <w:rPr>
          <w:b/>
          <w:color w:val="0E7C7B"/>
          <w:sz w:val="18"/>
        </w:rPr>
        <w:t xml:space="preserve">IN THIS SECTION  </w:t>
      </w:r>
      <w:r>
        <w:rPr>
          <w:i/>
          <w:color w:val="1F2937"/>
          <w:sz w:val="20"/>
        </w:rPr>
        <w:t>How a single EPV moves from issuance to reconciliation.</w:t>
      </w:r>
    </w:p>
    <w:p>
      <w:r>
        <w:rPr>
          <w:color w:val="374151"/>
          <w:sz w:val="21"/>
        </w:rPr>
        <w:t>This document maps how a single EPV moves through the platform from issuance to reconciliation. Every role has a defined step and every step is logged.</w:t>
      </w:r>
    </w:p>
    <w:p>
      <w:r>
        <w:br w:type="page"/>
      </w:r>
    </w:p>
    <w:p>
      <w:pPr>
        <w:pStyle w:val="Heading1"/>
      </w:pPr>
      <w:r>
        <w:t>The five stages</w:t>
      </w:r>
    </w:p>
    <w:p>
      <w:pPr>
        <w:pStyle w:val="Heading2"/>
      </w:pPr>
      <w:r>
        <w:t>Stage 1 — Issuance</w:t>
      </w:r>
    </w:p>
    <w:p>
      <w:r>
        <w:rPr>
          <w:color w:val="374151"/>
          <w:sz w:val="21"/>
        </w:rPr>
        <w:t>An EPV can be issued in two ways.</w:t>
      </w:r>
    </w:p>
    <w:p>
      <w:pPr>
        <w:pStyle w:val="ListBullet"/>
      </w:pPr>
      <w:r>
        <w:rPr>
          <w:color w:val="374151"/>
          <w:sz w:val="21"/>
        </w:rPr>
        <w:t>Manual send from a Super Admin or Administrator on the Master Facility Database or Company Overview.</w:t>
      </w:r>
    </w:p>
    <w:p>
      <w:pPr>
        <w:pStyle w:val="ListBullet"/>
      </w:pPr>
      <w:r>
        <w:rPr>
          <w:color w:val="374151"/>
          <w:sz w:val="21"/>
        </w:rPr>
        <w:t>Automatic monthly send by the scheduler for every facility marked "On EPV Cycle". Runs daily; only creates the EPV once per facility per month.</w:t>
      </w:r>
    </w:p>
    <w:p>
      <w:r>
        <w:rPr>
          <w:color w:val="374151"/>
          <w:sz w:val="21"/>
        </w:rPr>
        <w:t>The EPV period is always the previous calendar month. Emails go to all four facility addresses on file (primary, owner, accounts, manager). Each email carries a personal token link into the EPV form.</w:t>
      </w:r>
    </w:p>
    <w:p>
      <w:pPr>
        <w:pStyle w:val="Heading2"/>
      </w:pPr>
      <w:r>
        <w:t>Stage 2 — Submission</w:t>
      </w:r>
    </w:p>
    <w:p>
      <w:r>
        <w:rPr>
          <w:color w:val="374151"/>
          <w:sz w:val="21"/>
        </w:rPr>
        <w:t>The facility opens the token link. Company Admin or User completes the 4-step wizard (Business, Eggs, Pulp, Powder) and clicks Submit on Review. Purchase evidence is required for any Graded, Ungraded, Pulp, or Powder purchase greater than zero.</w:t>
      </w:r>
    </w:p>
    <w:p>
      <w:r>
        <w:rPr>
          <w:color w:val="374151"/>
          <w:sz w:val="21"/>
        </w:rPr>
        <w:t>On submit, the EPV is stamped Completed with the submitter's identity. The wizard becomes read-only.</w:t>
      </w:r>
    </w:p>
    <w:p>
      <w:pPr>
        <w:pStyle w:val="Heading2"/>
      </w:pPr>
      <w:r>
        <w:t>Stage 3 — Inspector review</w:t>
      </w:r>
    </w:p>
    <w:p>
      <w:r>
        <w:rPr>
          <w:color w:val="374151"/>
          <w:sz w:val="21"/>
        </w:rPr>
        <w:t>The inspector assigned to the facility reviews the EPV. They either approve (facility figures stand) or reject and capture their own revised set as an Inspector EPV.</w:t>
      </w:r>
    </w:p>
    <w:p>
      <w:r>
        <w:rPr>
          <w:color w:val="374151"/>
          <w:sz w:val="21"/>
        </w:rPr>
        <w:t>The Inspector EPV, when present, is the source of truth for invoicing.</w:t>
      </w:r>
    </w:p>
    <w:p>
      <w:pPr>
        <w:pStyle w:val="Heading2"/>
      </w:pPr>
      <w:r>
        <w:t>Stage 4 — ALS invoicing</w:t>
      </w:r>
    </w:p>
    <w:p>
      <w:r>
        <w:rPr>
          <w:color w:val="374151"/>
          <w:sz w:val="21"/>
        </w:rPr>
        <w:t>Once inspection-cleared, the EPV appears in the ALS Collections worklist. ALS marks the invoice as sent, uploads their invoice PDF, and reconciles the payment on the shared reconciliation fields. Every action is logged for transparency.</w:t>
      </w:r>
    </w:p>
    <w:p>
      <w:pPr>
        <w:pStyle w:val="Heading2"/>
      </w:pPr>
      <w:r>
        <w:t>Stage 5 — Payment</w:t>
      </w:r>
    </w:p>
    <w:p>
      <w:r>
        <w:rPr>
          <w:color w:val="374151"/>
          <w:sz w:val="21"/>
        </w:rPr>
        <w:t>The facility uploads the Proof of Payment. ALS confirms and marks reconciled. The EPV is now closed for that month.</w:t>
      </w:r>
    </w:p>
    <w:p>
      <w:r>
        <w:br w:type="page"/>
      </w:r>
    </w:p>
    <w:p>
      <w:pPr>
        <w:pStyle w:val="Heading1"/>
      </w:pPr>
      <w:r>
        <w:t>Roles and access</w:t>
      </w:r>
    </w:p>
    <w:p>
      <w:pPr>
        <w:pBdr>
          <w:left w:val="single" w:sz="24" w:space="8" w:color="0E7C7B"/>
        </w:pBdr>
        <w:ind w:left="170"/>
      </w:pPr>
      <w:r>
        <w:rPr>
          <w:b/>
          <w:color w:val="0E7C7B"/>
          <w:sz w:val="18"/>
        </w:rPr>
        <w:t xml:space="preserve">IN THIS SECTION  </w:t>
      </w:r>
      <w:r>
        <w:rPr>
          <w:i/>
          <w:color w:val="1F2937"/>
          <w:sz w:val="20"/>
        </w:rPr>
        <w:t>Six roles exist in the system.</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Role</w:t>
            </w:r>
          </w:p>
        </w:tc>
        <w:tc>
          <w:tcPr>
            <w:tcW w:type="dxa" w:w="4873"/>
            <w:shd w:val="clear" w:color="auto" w:fill="0E7C7B"/>
          </w:tcPr>
          <w:p>
            <w:pPr>
              <w:spacing w:before="40" w:after="40"/>
            </w:pPr>
            <w:r>
              <w:rPr>
                <w:b/>
                <w:color w:val="FFFFFF"/>
                <w:sz w:val="20"/>
              </w:rPr>
              <w:t>Scope</w:t>
            </w:r>
          </w:p>
        </w:tc>
      </w:tr>
      <w:tr>
        <w:tc>
          <w:tcPr>
            <w:tcW w:type="dxa" w:w="4873"/>
          </w:tcPr>
          <w:p>
            <w:pPr>
              <w:spacing w:before="40" w:after="40"/>
            </w:pPr>
            <w:r>
              <w:rPr>
                <w:color w:val="374151"/>
                <w:sz w:val="19"/>
              </w:rPr>
              <w:t>Super Admin</w:t>
            </w:r>
          </w:p>
        </w:tc>
        <w:tc>
          <w:tcPr>
            <w:tcW w:type="dxa" w:w="4873"/>
          </w:tcPr>
          <w:p>
            <w:pPr>
              <w:spacing w:before="40" w:after="40"/>
            </w:pPr>
            <w:r>
              <w:rPr>
                <w:color w:val="374151"/>
                <w:sz w:val="19"/>
              </w:rPr>
              <w:t>Full access to every page and every action.</w:t>
            </w:r>
          </w:p>
        </w:tc>
      </w:tr>
      <w:tr>
        <w:tc>
          <w:tcPr>
            <w:tcW w:type="dxa" w:w="4873"/>
            <w:shd w:val="clear" w:color="auto" w:fill="F3F4F6"/>
          </w:tcPr>
          <w:p>
            <w:pPr>
              <w:spacing w:before="40" w:after="40"/>
            </w:pPr>
            <w:r>
              <w:rPr>
                <w:color w:val="374151"/>
                <w:sz w:val="19"/>
              </w:rPr>
              <w:t>Admin</w:t>
            </w:r>
          </w:p>
        </w:tc>
        <w:tc>
          <w:tcPr>
            <w:tcW w:type="dxa" w:w="4873"/>
            <w:shd w:val="clear" w:color="auto" w:fill="F3F4F6"/>
          </w:tcPr>
          <w:p>
            <w:pPr>
              <w:spacing w:before="40" w:after="40"/>
            </w:pPr>
            <w:r>
              <w:rPr>
                <w:color w:val="374151"/>
                <w:sz w:val="19"/>
              </w:rPr>
              <w:t>Dashboard, Clients, Company Overview, Administrators, Inspectors, User Management, Support.</w:t>
            </w:r>
          </w:p>
        </w:tc>
      </w:tr>
      <w:tr>
        <w:tc>
          <w:tcPr>
            <w:tcW w:type="dxa" w:w="4873"/>
          </w:tcPr>
          <w:p>
            <w:pPr>
              <w:spacing w:before="40" w:after="40"/>
            </w:pPr>
            <w:r>
              <w:rPr>
                <w:color w:val="374151"/>
                <w:sz w:val="19"/>
              </w:rPr>
              <w:t>ALS</w:t>
            </w:r>
          </w:p>
        </w:tc>
        <w:tc>
          <w:tcPr>
            <w:tcW w:type="dxa" w:w="4873"/>
          </w:tcPr>
          <w:p>
            <w:pPr>
              <w:spacing w:before="40" w:after="40"/>
            </w:pPr>
            <w:r>
              <w:rPr>
                <w:color w:val="374151"/>
                <w:sz w:val="19"/>
              </w:rPr>
              <w:t>ALS Collections page, Company Overview (read-only cross-facility), Support, own Settings.</w:t>
            </w:r>
          </w:p>
        </w:tc>
      </w:tr>
      <w:tr>
        <w:tc>
          <w:tcPr>
            <w:tcW w:type="dxa" w:w="4873"/>
            <w:shd w:val="clear" w:color="auto" w:fill="F3F4F6"/>
          </w:tcPr>
          <w:p>
            <w:pPr>
              <w:spacing w:before="40" w:after="40"/>
            </w:pPr>
            <w:r>
              <w:rPr>
                <w:color w:val="374151"/>
                <w:sz w:val="19"/>
              </w:rPr>
              <w:t>Inspector</w:t>
            </w:r>
          </w:p>
        </w:tc>
        <w:tc>
          <w:tcPr>
            <w:tcW w:type="dxa" w:w="4873"/>
            <w:shd w:val="clear" w:color="auto" w:fill="F3F4F6"/>
          </w:tcPr>
          <w:p>
            <w:pPr>
              <w:spacing w:before="40" w:after="40"/>
            </w:pPr>
            <w:r>
              <w:rPr>
                <w:color w:val="374151"/>
                <w:sz w:val="19"/>
              </w:rPr>
              <w:t>Inspectors dashboard, Company Overview, Support, own Settings.</w:t>
            </w:r>
          </w:p>
        </w:tc>
      </w:tr>
      <w:tr>
        <w:tc>
          <w:tcPr>
            <w:tcW w:type="dxa" w:w="4873"/>
          </w:tcPr>
          <w:p>
            <w:pPr>
              <w:spacing w:before="40" w:after="40"/>
            </w:pPr>
            <w:r>
              <w:rPr>
                <w:color w:val="374151"/>
                <w:sz w:val="19"/>
              </w:rPr>
              <w:t>Company Admin</w:t>
            </w:r>
          </w:p>
        </w:tc>
        <w:tc>
          <w:tcPr>
            <w:tcW w:type="dxa" w:w="4873"/>
          </w:tcPr>
          <w:p>
            <w:pPr>
              <w:spacing w:before="40" w:after="40"/>
            </w:pPr>
            <w:r>
              <w:rPr>
                <w:color w:val="374151"/>
                <w:sz w:val="19"/>
              </w:rPr>
              <w:t>A single facility only (Company Overview, EPV form, Support, Settings).</w:t>
            </w:r>
          </w:p>
        </w:tc>
      </w:tr>
      <w:tr>
        <w:tc>
          <w:tcPr>
            <w:tcW w:type="dxa" w:w="4873"/>
            <w:shd w:val="clear" w:color="auto" w:fill="F3F4F6"/>
          </w:tcPr>
          <w:p>
            <w:pPr>
              <w:spacing w:before="40" w:after="40"/>
            </w:pPr>
            <w:r>
              <w:rPr>
                <w:color w:val="374151"/>
                <w:sz w:val="19"/>
              </w:rPr>
              <w:t>User</w:t>
            </w:r>
          </w:p>
        </w:tc>
        <w:tc>
          <w:tcPr>
            <w:tcW w:type="dxa" w:w="4873"/>
            <w:shd w:val="clear" w:color="auto" w:fill="F3F4F6"/>
          </w:tcPr>
          <w:p>
            <w:pPr>
              <w:spacing w:before="40" w:after="40"/>
            </w:pPr>
            <w:r>
              <w:rPr>
                <w:color w:val="374151"/>
                <w:sz w:val="19"/>
              </w:rPr>
              <w:t>Subset of Company Admin (cannot invite others).</w:t>
            </w:r>
          </w:p>
        </w:tc>
      </w:tr>
    </w:tbl>
    <w:p/>
    <w:p>
      <w:r>
        <w:br w:type="page"/>
      </w:r>
    </w:p>
    <w:p>
      <w:pPr>
        <w:pStyle w:val="Heading1"/>
      </w:pPr>
      <w:r>
        <w:t>Audit and transparency</w:t>
      </w:r>
    </w:p>
    <w:p>
      <w:pPr>
        <w:pBdr>
          <w:left w:val="single" w:sz="24" w:space="8" w:color="0E7C7B"/>
        </w:pBdr>
        <w:ind w:left="170"/>
      </w:pPr>
      <w:r>
        <w:rPr>
          <w:b/>
          <w:color w:val="0E7C7B"/>
          <w:sz w:val="18"/>
        </w:rPr>
        <w:t xml:space="preserve">IN THIS SECTION  </w:t>
      </w:r>
      <w:r>
        <w:rPr>
          <w:i/>
          <w:color w:val="1F2937"/>
          <w:sz w:val="20"/>
        </w:rPr>
        <w:t>What is logged, where.</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Log</w:t>
            </w:r>
          </w:p>
        </w:tc>
        <w:tc>
          <w:tcPr>
            <w:tcW w:type="dxa" w:w="4873"/>
            <w:shd w:val="clear" w:color="auto" w:fill="0E7C7B"/>
          </w:tcPr>
          <w:p>
            <w:pPr>
              <w:spacing w:before="40" w:after="40"/>
            </w:pPr>
            <w:r>
              <w:rPr>
                <w:b/>
                <w:color w:val="FFFFFF"/>
                <w:sz w:val="20"/>
              </w:rPr>
              <w:t>Records</w:t>
            </w:r>
          </w:p>
        </w:tc>
      </w:tr>
      <w:tr>
        <w:tc>
          <w:tcPr>
            <w:tcW w:type="dxa" w:w="4873"/>
          </w:tcPr>
          <w:p>
            <w:pPr>
              <w:spacing w:before="40" w:after="40"/>
            </w:pPr>
            <w:r>
              <w:rPr>
                <w:color w:val="374151"/>
                <w:sz w:val="19"/>
              </w:rPr>
              <w:t>ClientAuditLog</w:t>
            </w:r>
          </w:p>
        </w:tc>
        <w:tc>
          <w:tcPr>
            <w:tcW w:type="dxa" w:w="4873"/>
          </w:tcPr>
          <w:p>
            <w:pPr>
              <w:spacing w:before="40" w:after="40"/>
            </w:pPr>
            <w:r>
              <w:rPr>
                <w:color w:val="374151"/>
                <w:sz w:val="19"/>
              </w:rPr>
              <w:t>Every field-level change on a facility.</w:t>
            </w:r>
          </w:p>
        </w:tc>
      </w:tr>
      <w:tr>
        <w:tc>
          <w:tcPr>
            <w:tcW w:type="dxa" w:w="4873"/>
            <w:shd w:val="clear" w:color="auto" w:fill="F3F4F6"/>
          </w:tcPr>
          <w:p>
            <w:pPr>
              <w:spacing w:before="40" w:after="40"/>
            </w:pPr>
            <w:r>
              <w:rPr>
                <w:color w:val="374151"/>
                <w:sz w:val="19"/>
              </w:rPr>
              <w:t>EPVAuditLog</w:t>
            </w:r>
          </w:p>
        </w:tc>
        <w:tc>
          <w:tcPr>
            <w:tcW w:type="dxa" w:w="4873"/>
            <w:shd w:val="clear" w:color="auto" w:fill="F3F4F6"/>
          </w:tcPr>
          <w:p>
            <w:pPr>
              <w:spacing w:before="40" w:after="40"/>
            </w:pPr>
            <w:r>
              <w:rPr>
                <w:color w:val="374151"/>
                <w:sz w:val="19"/>
              </w:rPr>
              <w:t>Every field-level change on an EPV, including ALS actions with the actor's role for the shared transparency log.</w:t>
            </w:r>
          </w:p>
        </w:tc>
      </w:tr>
      <w:tr>
        <w:tc>
          <w:tcPr>
            <w:tcW w:type="dxa" w:w="4873"/>
          </w:tcPr>
          <w:p>
            <w:pPr>
              <w:spacing w:before="40" w:after="40"/>
            </w:pPr>
            <w:r>
              <w:rPr>
                <w:color w:val="374151"/>
                <w:sz w:val="19"/>
              </w:rPr>
              <w:t>LoginLog</w:t>
            </w:r>
          </w:p>
        </w:tc>
        <w:tc>
          <w:tcPr>
            <w:tcW w:type="dxa" w:w="4873"/>
          </w:tcPr>
          <w:p>
            <w:pPr>
              <w:spacing w:before="40" w:after="40"/>
            </w:pPr>
            <w:r>
              <w:rPr>
                <w:color w:val="374151"/>
                <w:sz w:val="19"/>
              </w:rPr>
              <w:t>Every login attempt — successful or failed — with reason, IP, and user agent.</w:t>
            </w:r>
          </w:p>
        </w:tc>
      </w:tr>
      <w:tr>
        <w:tc>
          <w:tcPr>
            <w:tcW w:type="dxa" w:w="4873"/>
            <w:shd w:val="clear" w:color="auto" w:fill="F3F4F6"/>
          </w:tcPr>
          <w:p>
            <w:pPr>
              <w:spacing w:before="40" w:after="40"/>
            </w:pPr>
            <w:r>
              <w:rPr>
                <w:color w:val="374151"/>
                <w:sz w:val="19"/>
              </w:rPr>
              <w:t>EmailSendLog</w:t>
            </w:r>
          </w:p>
        </w:tc>
        <w:tc>
          <w:tcPr>
            <w:tcW w:type="dxa" w:w="4873"/>
            <w:shd w:val="clear" w:color="auto" w:fill="F3F4F6"/>
          </w:tcPr>
          <w:p>
            <w:pPr>
              <w:spacing w:before="40" w:after="40"/>
            </w:pPr>
            <w:r>
              <w:rPr>
                <w:color w:val="374151"/>
                <w:sz w:val="19"/>
              </w:rPr>
              <w:t>Every outbound email attempt, per recipient, with delivery status.</w:t>
            </w:r>
          </w:p>
        </w:tc>
      </w:tr>
    </w:tbl>
    <w:p/>
    <w:p>
      <w:r>
        <w:br w:type="page"/>
      </w:r>
    </w:p>
    <w:p>
      <w:pPr>
        <w:pStyle w:val="Heading1"/>
      </w:pPr>
      <w:r>
        <w:t>How the levy is calculated</w:t>
      </w:r>
    </w:p>
    <w:p>
      <w:pPr>
        <w:pBdr>
          <w:left w:val="single" w:sz="24" w:space="8" w:color="0E7C7B"/>
        </w:pBdr>
        <w:ind w:left="170"/>
      </w:pPr>
      <w:r>
        <w:rPr>
          <w:b/>
          <w:color w:val="0E7C7B"/>
          <w:sz w:val="18"/>
        </w:rPr>
        <w:t xml:space="preserve">IN THIS SECTION  </w:t>
      </w:r>
      <w:r>
        <w:rPr>
          <w:i/>
          <w:color w:val="1F2937"/>
          <w:sz w:val="20"/>
        </w:rPr>
        <w:t>The maths behind every invoice. Trade sales are what count. All amounts exclude VAT.</w:t>
      </w:r>
    </w:p>
    <w:p>
      <w:pPr>
        <w:shd w:val="clear" w:color="auto" w:fill="FEE2E2"/>
        <w:spacing w:before="120" w:after="120"/>
        <w:ind w:left="170" w:right="170"/>
      </w:pPr>
      <w:r>
        <w:rPr>
          <w:b/>
          <w:color w:val="DC2626"/>
          <w:sz w:val="18"/>
        </w:rPr>
        <w:t xml:space="preserve">EXCL. VAT  </w:t>
      </w:r>
      <w:r>
        <w:rPr>
          <w:color w:val="1F2937"/>
          <w:sz w:val="20"/>
        </w:rPr>
        <w:t>ALL Rand amounts anywhere in EPVS are stored and displayed EXCLUSIVE of VAT. The statutory levy is calculated on the pre-VAT sales-to-trade quantities. VAT is added separately by ALS on the invoice they send you.</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436"/>
        <w:gridCol w:w="2436"/>
        <w:gridCol w:w="2436"/>
        <w:gridCol w:w="2436"/>
      </w:tblGrid>
      <w:tr>
        <w:tc>
          <w:tcPr>
            <w:tcW w:type="dxa" w:w="2436"/>
            <w:shd w:val="clear" w:color="auto" w:fill="0E7C7B"/>
          </w:tcPr>
          <w:p>
            <w:pPr>
              <w:spacing w:before="40" w:after="40"/>
            </w:pPr>
            <w:r>
              <w:rPr>
                <w:b/>
                <w:color w:val="FFFFFF"/>
                <w:sz w:val="20"/>
              </w:rPr>
              <w:t>Product</w:t>
            </w:r>
          </w:p>
        </w:tc>
        <w:tc>
          <w:tcPr>
            <w:tcW w:type="dxa" w:w="2436"/>
            <w:shd w:val="clear" w:color="auto" w:fill="0E7C7B"/>
          </w:tcPr>
          <w:p>
            <w:pPr>
              <w:spacing w:before="40" w:after="40"/>
            </w:pPr>
            <w:r>
              <w:rPr>
                <w:b/>
                <w:color w:val="FFFFFF"/>
                <w:sz w:val="20"/>
              </w:rPr>
              <w:t>Basis</w:t>
            </w:r>
          </w:p>
        </w:tc>
        <w:tc>
          <w:tcPr>
            <w:tcW w:type="dxa" w:w="2436"/>
            <w:shd w:val="clear" w:color="auto" w:fill="0E7C7B"/>
          </w:tcPr>
          <w:p>
            <w:pPr>
              <w:spacing w:before="40" w:after="40"/>
            </w:pPr>
            <w:r>
              <w:rPr>
                <w:b/>
                <w:color w:val="FFFFFF"/>
                <w:sz w:val="20"/>
              </w:rPr>
              <w:t>Rate (excl VAT)</w:t>
            </w:r>
          </w:p>
        </w:tc>
        <w:tc>
          <w:tcPr>
            <w:tcW w:type="dxa" w:w="2436"/>
            <w:shd w:val="clear" w:color="auto" w:fill="0E7C7B"/>
          </w:tcPr>
          <w:p>
            <w:pPr>
              <w:spacing w:before="40" w:after="40"/>
            </w:pPr>
            <w:r>
              <w:rPr>
                <w:b/>
                <w:color w:val="FFFFFF"/>
                <w:sz w:val="20"/>
              </w:rPr>
              <w:t>Formula</w:t>
            </w:r>
          </w:p>
        </w:tc>
      </w:tr>
      <w:tr>
        <w:tc>
          <w:tcPr>
            <w:tcW w:type="dxa" w:w="2436"/>
          </w:tcPr>
          <w:p>
            <w:pPr>
              <w:spacing w:before="40" w:after="40"/>
            </w:pPr>
            <w:r>
              <w:rPr>
                <w:color w:val="374151"/>
                <w:sz w:val="19"/>
              </w:rPr>
              <w:t>Eggs</w:t>
            </w:r>
          </w:p>
        </w:tc>
        <w:tc>
          <w:tcPr>
            <w:tcW w:type="dxa" w:w="2436"/>
          </w:tcPr>
          <w:p>
            <w:pPr>
              <w:spacing w:before="40" w:after="40"/>
            </w:pPr>
            <w:r>
              <w:rPr>
                <w:color w:val="374151"/>
                <w:sz w:val="19"/>
              </w:rPr>
              <w:t>Dozens sold to trade</w:t>
            </w:r>
          </w:p>
        </w:tc>
        <w:tc>
          <w:tcPr>
            <w:tcW w:type="dxa" w:w="2436"/>
          </w:tcPr>
          <w:p>
            <w:pPr>
              <w:spacing w:before="40" w:after="40"/>
            </w:pPr>
            <w:r>
              <w:rPr>
                <w:color w:val="374151"/>
                <w:sz w:val="19"/>
              </w:rPr>
              <w:t>R 0.020 / dozen</w:t>
            </w:r>
          </w:p>
        </w:tc>
        <w:tc>
          <w:tcPr>
            <w:tcW w:type="dxa" w:w="2436"/>
          </w:tcPr>
          <w:p>
            <w:pPr>
              <w:spacing w:before="40" w:after="40"/>
            </w:pPr>
            <w:r>
              <w:rPr>
                <w:color w:val="374151"/>
                <w:sz w:val="19"/>
              </w:rPr>
              <w:t>SoldToTrade × 0.020</w:t>
            </w:r>
          </w:p>
        </w:tc>
      </w:tr>
      <w:tr>
        <w:tc>
          <w:tcPr>
            <w:tcW w:type="dxa" w:w="2436"/>
            <w:shd w:val="clear" w:color="auto" w:fill="F3F4F6"/>
          </w:tcPr>
          <w:p>
            <w:pPr>
              <w:spacing w:before="40" w:after="40"/>
            </w:pPr>
            <w:r>
              <w:rPr>
                <w:color w:val="374151"/>
                <w:sz w:val="19"/>
              </w:rPr>
              <w:t>Pulp</w:t>
            </w:r>
          </w:p>
        </w:tc>
        <w:tc>
          <w:tcPr>
            <w:tcW w:type="dxa" w:w="2436"/>
            <w:shd w:val="clear" w:color="auto" w:fill="F3F4F6"/>
          </w:tcPr>
          <w:p>
            <w:pPr>
              <w:spacing w:before="40" w:after="40"/>
            </w:pPr>
            <w:r>
              <w:rPr>
                <w:color w:val="374151"/>
                <w:sz w:val="19"/>
              </w:rPr>
              <w:t>kg sold to trade → dozens at 1.7</w:t>
            </w:r>
          </w:p>
        </w:tc>
        <w:tc>
          <w:tcPr>
            <w:tcW w:type="dxa" w:w="2436"/>
            <w:shd w:val="clear" w:color="auto" w:fill="F3F4F6"/>
          </w:tcPr>
          <w:p>
            <w:pPr>
              <w:spacing w:before="40" w:after="40"/>
            </w:pPr>
            <w:r>
              <w:rPr>
                <w:color w:val="374151"/>
                <w:sz w:val="19"/>
              </w:rPr>
              <w:t>R 0.020 / dozen (R 0.034 / kg)</w:t>
            </w:r>
          </w:p>
        </w:tc>
        <w:tc>
          <w:tcPr>
            <w:tcW w:type="dxa" w:w="2436"/>
            <w:shd w:val="clear" w:color="auto" w:fill="F3F4F6"/>
          </w:tcPr>
          <w:p>
            <w:pPr>
              <w:spacing w:before="40" w:after="40"/>
            </w:pPr>
            <w:r>
              <w:rPr>
                <w:color w:val="374151"/>
                <w:sz w:val="19"/>
              </w:rPr>
              <w:t>PulpSoldToTrade × 1.7 × 0.020</w:t>
            </w:r>
          </w:p>
        </w:tc>
      </w:tr>
      <w:tr>
        <w:tc>
          <w:tcPr>
            <w:tcW w:type="dxa" w:w="2436"/>
          </w:tcPr>
          <w:p>
            <w:pPr>
              <w:spacing w:before="40" w:after="40"/>
            </w:pPr>
            <w:r>
              <w:rPr>
                <w:color w:val="374151"/>
                <w:sz w:val="19"/>
              </w:rPr>
              <w:t>Powder</w:t>
            </w:r>
          </w:p>
        </w:tc>
        <w:tc>
          <w:tcPr>
            <w:tcW w:type="dxa" w:w="2436"/>
          </w:tcPr>
          <w:p>
            <w:pPr>
              <w:spacing w:before="40" w:after="40"/>
            </w:pPr>
            <w:r>
              <w:rPr>
                <w:color w:val="374151"/>
                <w:sz w:val="19"/>
              </w:rPr>
              <w:t>kg sold to trade</w:t>
            </w:r>
          </w:p>
        </w:tc>
        <w:tc>
          <w:tcPr>
            <w:tcW w:type="dxa" w:w="2436"/>
          </w:tcPr>
          <w:p>
            <w:pPr>
              <w:spacing w:before="40" w:after="40"/>
            </w:pPr>
            <w:r>
              <w:rPr>
                <w:color w:val="374151"/>
                <w:sz w:val="19"/>
              </w:rPr>
              <w:t>R 0.020 / kg</w:t>
            </w:r>
          </w:p>
        </w:tc>
        <w:tc>
          <w:tcPr>
            <w:tcW w:type="dxa" w:w="2436"/>
          </w:tcPr>
          <w:p>
            <w:pPr>
              <w:spacing w:before="40" w:after="40"/>
            </w:pPr>
            <w:r>
              <w:rPr>
                <w:color w:val="374151"/>
                <w:sz w:val="19"/>
              </w:rPr>
              <w:t>PowderSoldToTrade × 0.020</w:t>
            </w:r>
          </w:p>
        </w:tc>
      </w:tr>
    </w:tbl>
    <w:p/>
    <w:p>
      <w:r>
        <w:rPr>
          <w:color w:val="374151"/>
          <w:sz w:val="21"/>
        </w:rPr>
        <w:t>These fields are recorded so your closing stock balances, but they DO NOT contribute to the levy: sales to staff, sales through a farm stall, transfers to other producers, pulp / powder sold to other producers, market returns, machine loss, sent-to-pulp, destroyed, exported, and conversion loss.</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color w:val="6B7280"/>
        <w:sz w:val="18"/>
      </w:rPr>
      <w:t>Process Flow Documentation   |   EPVS · ALS Food Safety Agency</w:t>
    </w:r>
    <w:r>
      <w:tab/>
      <w:tab/>
    </w:r>
    <w:r>
      <w:rPr>
        <w:color w:val="6B7280"/>
        <w:sz w:val="18"/>
      </w:rPr>
      <w:fldChar w:fldCharType="begin"/>
      <w:instrText xml:space="preserve">PAGE</w:instrText>
      <w:fldChar w:fldCharType="end"/>
    </w:r>
    <w:r>
      <w:rPr>
        <w:color w:val="6B7280"/>
        <w:sz w:val="18"/>
      </w:rPr>
      <w:t xml:space="preserve"> of </w:t>
    </w:r>
    <w:r>
      <w:rPr>
        <w:color w:val="6B728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7C7B"/>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A5C5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E7C7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Segoe UI" w:hAnsi="Segoe UI"/>
      <w:b w:val="0"/>
      <w:i/>
      <w:iCs/>
      <w:color w:val="6B728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