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E7C7B"/>
          <w:sz w:val="144"/>
        </w:rPr>
        <w:t>EPVS</w:t>
      </w:r>
    </w:p>
    <w:p>
      <w:pPr>
        <w:jc w:val="center"/>
      </w:pPr>
      <w:r>
        <w:rPr>
          <w:color w:val="6B7280"/>
          <w:sz w:val="28"/>
        </w:rPr>
        <w:t>Egg Production Verification System</w:t>
      </w:r>
    </w:p>
    <w:p>
      <w:pPr>
        <w:spacing w:before="1200"/>
        <w:jc w:val="center"/>
      </w:pPr>
      <w:r>
        <w:rPr>
          <w:b/>
          <w:color w:val="1F2937"/>
          <w:sz w:val="60"/>
        </w:rPr>
        <w:t>Super Administrator Manual</w:t>
      </w:r>
    </w:p>
    <w:p>
      <w:pPr>
        <w:jc w:val="center"/>
      </w:pPr>
      <w:r>
        <w:rPr>
          <w:i/>
          <w:color w:val="6B7280"/>
          <w:sz w:val="28"/>
        </w:rPr>
        <w:t>Full-system operations guide</w:t>
      </w:r>
    </w:p>
    <w:p>
      <w:pPr>
        <w:spacing w:before="2000"/>
        <w:jc w:val="center"/>
      </w:pPr>
      <w:r>
        <w:rPr>
          <w:color w:val="0A5C5B"/>
          <w:sz w:val="24"/>
        </w:rPr>
        <w:t>Audience: ALS Food Safety Agency Super Administrators</w:t>
      </w:r>
    </w:p>
    <w:p>
      <w:pPr>
        <w:jc w:val="center"/>
      </w:pPr>
      <w:r>
        <w:rPr>
          <w:color w:val="6B7280"/>
          <w:sz w:val="22"/>
        </w:rPr>
        <w:t>Edition April 2026</w:t>
      </w:r>
    </w:p>
    <w:p>
      <w:pPr>
        <w:spacing w:before="1200"/>
        <w:jc w:val="center"/>
      </w:pPr>
      <w:r>
        <w:rPr>
          <w:b/>
          <w:color w:val="0E7C7B"/>
          <w:sz w:val="22"/>
        </w:rPr>
        <w:t>ALS Food Safety Agency</w:t>
      </w:r>
    </w:p>
    <w:p>
      <w:pPr>
        <w:spacing w:before="120"/>
        <w:jc w:val="center"/>
      </w:pPr>
      <w:r>
        <w:rPr>
          <w:b/>
          <w:color w:val="DC2626"/>
          <w:sz w:val="22"/>
        </w:rPr>
        <w:t>All amounts throughout EPVS are shown EXCLUSIVE of VAT.</w:t>
      </w:r>
    </w:p>
    <w:p>
      <w:r>
        <w:br w:type="page"/>
      </w:r>
    </w:p>
    <w:p>
      <w:pPr>
        <w:pStyle w:val="Heading1"/>
      </w:pPr>
      <w:r>
        <w:t>Table of Contents</w:t>
      </w:r>
    </w:p>
    <w:p>
      <w:r>
        <w:rPr>
          <w:color w:val="374151"/>
          <w:sz w:val="21"/>
        </w:rPr>
        <w:t>This document uses a Word Table of Contents. To fill it in, right-click below and choose "Update Field" (or press F9). All headings you see through the guide are included.</w:t>
      </w:r>
    </w:p>
    <w:p>
      <w:r>
        <w:fldChar w:fldCharType="begin"/>
        <w:instrText xml:space="preserve">TOC \o "1-3" \h \z \u</w:instrText>
        <w:fldChar w:fldCharType="separate"/>
      </w:r>
      <w:r>
        <w:t>Right-click and choose "Update Field" to build the Table of Contents.</w:t>
      </w:r>
      <w:r>
        <w:fldChar w:fldCharType="end"/>
      </w:r>
    </w:p>
    <w:p>
      <w:r>
        <w:br w:type="page"/>
      </w:r>
    </w:p>
    <w:p>
      <w:pPr>
        <w:pStyle w:val="Heading1"/>
      </w:pPr>
      <w:r>
        <w:t>About EPVS</w:t>
      </w:r>
    </w:p>
    <w:p>
      <w:pPr>
        <w:pBdr>
          <w:left w:val="single" w:sz="24" w:space="8" w:color="0E7C7B"/>
        </w:pBdr>
        <w:ind w:left="170"/>
      </w:pPr>
      <w:r>
        <w:rPr>
          <w:b/>
          <w:color w:val="0E7C7B"/>
          <w:sz w:val="18"/>
        </w:rPr>
        <w:t xml:space="preserve">IN THIS SECTION  </w:t>
      </w:r>
      <w:r>
        <w:rPr>
          <w:i/>
          <w:color w:val="1F2937"/>
          <w:sz w:val="20"/>
        </w:rPr>
        <w:t>What the platform is, who uses it, and where you fit in.</w:t>
      </w:r>
    </w:p>
    <w:p>
      <w:r>
        <w:rPr>
          <w:color w:val="374151"/>
          <w:sz w:val="21"/>
        </w:rPr>
        <w:t>EPVS manages the statutory levy owed on graded eggs, pulp, and egg powder across every registered facility. Facilities submit monthly EPVs, inspectors verify them, and ALS invoices and reconciles payment. This manual walks through everything the current role can do.</w:t>
      </w:r>
    </w:p>
    <w:p>
      <w:r>
        <w:rPr>
          <w:color w:val="374151"/>
          <w:sz w:val="21"/>
        </w:rPr>
        <w:t>The five moving parts:</w:t>
      </w:r>
    </w:p>
    <w:p>
      <w:pPr>
        <w:pStyle w:val="ListBullet"/>
      </w:pPr>
      <w:r>
        <w:rPr>
          <w:color w:val="374151"/>
          <w:sz w:val="21"/>
        </w:rPr>
        <w:t>Facilities submit their monthly EPV.</w:t>
      </w:r>
    </w:p>
    <w:p>
      <w:pPr>
        <w:pStyle w:val="ListBullet"/>
      </w:pPr>
      <w:r>
        <w:rPr>
          <w:color w:val="374151"/>
          <w:sz w:val="21"/>
        </w:rPr>
        <w:t>Inspectors approve or capture a revised set of figures.</w:t>
      </w:r>
    </w:p>
    <w:p>
      <w:pPr>
        <w:pStyle w:val="ListBullet"/>
      </w:pPr>
      <w:r>
        <w:rPr>
          <w:color w:val="374151"/>
          <w:sz w:val="21"/>
        </w:rPr>
        <w:t>ALS invoices and records payment.</w:t>
      </w:r>
    </w:p>
    <w:p>
      <w:pPr>
        <w:pStyle w:val="ListBullet"/>
      </w:pPr>
      <w:r>
        <w:rPr>
          <w:color w:val="374151"/>
          <w:sz w:val="21"/>
        </w:rPr>
        <w:t>Administrators and Super Admins oversee the whole cycle.</w:t>
      </w:r>
    </w:p>
    <w:p>
      <w:pPr>
        <w:pStyle w:val="ListBullet"/>
      </w:pPr>
      <w:r>
        <w:rPr>
          <w:color w:val="374151"/>
          <w:sz w:val="21"/>
        </w:rPr>
        <w:t>The system does the arithmetic, schedules issuance, and logs everything.</w:t>
      </w:r>
    </w:p>
    <w:p>
      <w:r>
        <w:br w:type="page"/>
      </w:r>
    </w:p>
    <w:p>
      <w:pPr>
        <w:pStyle w:val="Heading1"/>
      </w:pPr>
      <w:r>
        <w:t>Logging in and getting oriented</w:t>
      </w:r>
    </w:p>
    <w:p>
      <w:pPr>
        <w:pBdr>
          <w:left w:val="single" w:sz="24" w:space="8" w:color="0E7C7B"/>
        </w:pBdr>
        <w:ind w:left="170"/>
      </w:pPr>
      <w:r>
        <w:rPr>
          <w:b/>
          <w:color w:val="0E7C7B"/>
          <w:sz w:val="18"/>
        </w:rPr>
        <w:t xml:space="preserve">IN THIS SECTION  </w:t>
      </w:r>
      <w:r>
        <w:rPr>
          <w:i/>
          <w:color w:val="1F2937"/>
          <w:sz w:val="20"/>
        </w:rPr>
        <w:t>What you see the moment you log in as a Super Administrator.</w:t>
      </w:r>
    </w:p>
    <w:p>
      <w:pPr>
        <w:pStyle w:val="Heading2"/>
      </w:pPr>
      <w:r>
        <w:t>Login</w:t>
      </w:r>
    </w:p>
    <w:p>
      <w:r>
        <w:rPr>
          <w:color w:val="374151"/>
          <w:sz w:val="21"/>
        </w:rPr>
        <w:t>Open the EPVS URL in your browser. Enter your email and password. If you have forgotten your password, click "Forgot Password" for a reset link.</w:t>
      </w:r>
    </w:p>
    <w:p>
      <w:pPr>
        <w:shd w:val="clear" w:color="auto" w:fill="DBEAFE"/>
        <w:spacing w:before="120" w:after="120"/>
        <w:ind w:left="170" w:right="170"/>
      </w:pPr>
      <w:r>
        <w:rPr>
          <w:b/>
          <w:color w:val="1E40AF"/>
          <w:sz w:val="18"/>
        </w:rPr>
        <w:t xml:space="preserve">NOTE  </w:t>
      </w:r>
      <w:r>
        <w:rPr>
          <w:color w:val="1F2937"/>
          <w:sz w:val="20"/>
        </w:rPr>
        <w:t>If your login fails, check the "Login History" panel on User Management — you can see the reason for every rejected attempt (wrong password, deactivated account, unknown email).</w:t>
      </w:r>
    </w:p>
    <w:p>
      <w:pPr>
        <w:pStyle w:val="Heading2"/>
      </w:pPr>
      <w:r>
        <w:t>Landing page</w:t>
      </w:r>
    </w:p>
    <w:p>
      <w:r>
        <w:rPr>
          <w:color w:val="374151"/>
          <w:sz w:val="21"/>
        </w:rPr>
        <w:t>Super Admins land on the Dashboard. Nine tabs are available in the top ribbon.</w:t>
      </w:r>
    </w:p>
    <w:tbl>
      <w:tblPr>
        <w:tblW w:type="auto" w:w="0"/>
        <w:jc w:val="lef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873"/>
        <w:gridCol w:w="4873"/>
      </w:tblGrid>
      <w:tr>
        <w:tc>
          <w:tcPr>
            <w:tcW w:type="dxa" w:w="4873"/>
            <w:shd w:val="clear" w:color="auto" w:fill="0E7C7B"/>
          </w:tcPr>
          <w:p>
            <w:pPr>
              <w:spacing w:before="40" w:after="40"/>
            </w:pPr>
            <w:r>
              <w:rPr>
                <w:b/>
                <w:color w:val="FFFFFF"/>
                <w:sz w:val="20"/>
              </w:rPr>
              <w:t>Tab</w:t>
            </w:r>
          </w:p>
        </w:tc>
        <w:tc>
          <w:tcPr>
            <w:tcW w:type="dxa" w:w="4873"/>
            <w:shd w:val="clear" w:color="auto" w:fill="0E7C7B"/>
          </w:tcPr>
          <w:p>
            <w:pPr>
              <w:spacing w:before="40" w:after="40"/>
            </w:pPr>
            <w:r>
              <w:rPr>
                <w:b/>
                <w:color w:val="FFFFFF"/>
                <w:sz w:val="20"/>
              </w:rPr>
              <w:t>Purpose</w:t>
            </w:r>
          </w:p>
        </w:tc>
      </w:tr>
      <w:tr>
        <w:tc>
          <w:tcPr>
            <w:tcW w:type="dxa" w:w="4873"/>
          </w:tcPr>
          <w:p>
            <w:pPr>
              <w:spacing w:before="40" w:after="40"/>
            </w:pPr>
            <w:r>
              <w:rPr>
                <w:color w:val="374151"/>
                <w:sz w:val="19"/>
              </w:rPr>
              <w:t>Dashboard</w:t>
            </w:r>
          </w:p>
        </w:tc>
        <w:tc>
          <w:tcPr>
            <w:tcW w:type="dxa" w:w="4873"/>
          </w:tcPr>
          <w:p>
            <w:pPr>
              <w:spacing w:before="40" w:after="40"/>
            </w:pPr>
            <w:r>
              <w:rPr>
                <w:color w:val="374151"/>
                <w:sz w:val="19"/>
              </w:rPr>
              <w:t>KPI ribbon, financial charts, province overview.</w:t>
            </w:r>
          </w:p>
        </w:tc>
      </w:tr>
      <w:tr>
        <w:tc>
          <w:tcPr>
            <w:tcW w:type="dxa" w:w="4873"/>
            <w:shd w:val="clear" w:color="auto" w:fill="F3F4F6"/>
          </w:tcPr>
          <w:p>
            <w:pPr>
              <w:spacing w:before="40" w:after="40"/>
            </w:pPr>
            <w:r>
              <w:rPr>
                <w:color w:val="374151"/>
                <w:sz w:val="19"/>
              </w:rPr>
              <w:t>Clients</w:t>
            </w:r>
          </w:p>
        </w:tc>
        <w:tc>
          <w:tcPr>
            <w:tcW w:type="dxa" w:w="4873"/>
            <w:shd w:val="clear" w:color="auto" w:fill="F3F4F6"/>
          </w:tcPr>
          <w:p>
            <w:pPr>
              <w:spacing w:before="40" w:after="40"/>
            </w:pPr>
            <w:r>
              <w:rPr>
                <w:color w:val="374151"/>
                <w:sz w:val="19"/>
              </w:rPr>
              <w:t>Consolidated Master Facility Database (CRUD + audit).</w:t>
            </w:r>
          </w:p>
        </w:tc>
      </w:tr>
      <w:tr>
        <w:tc>
          <w:tcPr>
            <w:tcW w:type="dxa" w:w="4873"/>
          </w:tcPr>
          <w:p>
            <w:pPr>
              <w:spacing w:before="40" w:after="40"/>
            </w:pPr>
            <w:r>
              <w:rPr>
                <w:color w:val="374151"/>
                <w:sz w:val="19"/>
              </w:rPr>
              <w:t>Inspectors</w:t>
            </w:r>
          </w:p>
        </w:tc>
        <w:tc>
          <w:tcPr>
            <w:tcW w:type="dxa" w:w="4873"/>
          </w:tcPr>
          <w:p>
            <w:pPr>
              <w:spacing w:before="40" w:after="40"/>
            </w:pPr>
            <w:r>
              <w:rPr>
                <w:color w:val="374151"/>
                <w:sz w:val="19"/>
              </w:rPr>
              <w:t>Inspector workload, KPIs, assign facilities.</w:t>
            </w:r>
          </w:p>
        </w:tc>
      </w:tr>
      <w:tr>
        <w:tc>
          <w:tcPr>
            <w:tcW w:type="dxa" w:w="4873"/>
            <w:shd w:val="clear" w:color="auto" w:fill="F3F4F6"/>
          </w:tcPr>
          <w:p>
            <w:pPr>
              <w:spacing w:before="40" w:after="40"/>
            </w:pPr>
            <w:r>
              <w:rPr>
                <w:color w:val="374151"/>
                <w:sz w:val="19"/>
              </w:rPr>
              <w:t>Administrators</w:t>
            </w:r>
          </w:p>
        </w:tc>
        <w:tc>
          <w:tcPr>
            <w:tcW w:type="dxa" w:w="4873"/>
            <w:shd w:val="clear" w:color="auto" w:fill="F3F4F6"/>
          </w:tcPr>
          <w:p>
            <w:pPr>
              <w:spacing w:before="40" w:after="40"/>
            </w:pPr>
            <w:r>
              <w:rPr>
                <w:color w:val="374151"/>
                <w:sz w:val="19"/>
              </w:rPr>
              <w:t>Reconciliation control centre.</w:t>
            </w:r>
          </w:p>
        </w:tc>
      </w:tr>
      <w:tr>
        <w:tc>
          <w:tcPr>
            <w:tcW w:type="dxa" w:w="4873"/>
          </w:tcPr>
          <w:p>
            <w:pPr>
              <w:spacing w:before="40" w:after="40"/>
            </w:pPr>
            <w:r>
              <w:rPr>
                <w:color w:val="374151"/>
                <w:sz w:val="19"/>
              </w:rPr>
              <w:t>ALS Collections</w:t>
            </w:r>
          </w:p>
        </w:tc>
        <w:tc>
          <w:tcPr>
            <w:tcW w:type="dxa" w:w="4873"/>
          </w:tcPr>
          <w:p>
            <w:pPr>
              <w:spacing w:before="40" w:after="40"/>
            </w:pPr>
            <w:r>
              <w:rPr>
                <w:color w:val="374151"/>
                <w:sz w:val="19"/>
              </w:rPr>
              <w:t>3rd-party levy collector's worklist (also visible to you for transparency).</w:t>
            </w:r>
          </w:p>
        </w:tc>
      </w:tr>
      <w:tr>
        <w:tc>
          <w:tcPr>
            <w:tcW w:type="dxa" w:w="4873"/>
            <w:shd w:val="clear" w:color="auto" w:fill="F3F4F6"/>
          </w:tcPr>
          <w:p>
            <w:pPr>
              <w:spacing w:before="40" w:after="40"/>
            </w:pPr>
            <w:r>
              <w:rPr>
                <w:color w:val="374151"/>
                <w:sz w:val="19"/>
              </w:rPr>
              <w:t>Company Overview</w:t>
            </w:r>
          </w:p>
        </w:tc>
        <w:tc>
          <w:tcPr>
            <w:tcW w:type="dxa" w:w="4873"/>
            <w:shd w:val="clear" w:color="auto" w:fill="F3F4F6"/>
          </w:tcPr>
          <w:p>
            <w:pPr>
              <w:spacing w:before="40" w:after="40"/>
            </w:pPr>
            <w:r>
              <w:rPr>
                <w:color w:val="374151"/>
                <w:sz w:val="19"/>
              </w:rPr>
              <w:t>Deep-dive per facility.</w:t>
            </w:r>
          </w:p>
        </w:tc>
      </w:tr>
      <w:tr>
        <w:tc>
          <w:tcPr>
            <w:tcW w:type="dxa" w:w="4873"/>
          </w:tcPr>
          <w:p>
            <w:pPr>
              <w:spacing w:before="40" w:after="40"/>
            </w:pPr>
            <w:r>
              <w:rPr>
                <w:color w:val="374151"/>
                <w:sz w:val="19"/>
              </w:rPr>
              <w:t>Support</w:t>
            </w:r>
          </w:p>
        </w:tc>
        <w:tc>
          <w:tcPr>
            <w:tcW w:type="dxa" w:w="4873"/>
          </w:tcPr>
          <w:p>
            <w:pPr>
              <w:spacing w:before="40" w:after="40"/>
            </w:pPr>
            <w:r>
              <w:rPr>
                <w:color w:val="374151"/>
                <w:sz w:val="19"/>
              </w:rPr>
              <w:t>Support tickets across the system.</w:t>
            </w:r>
          </w:p>
        </w:tc>
      </w:tr>
      <w:tr>
        <w:tc>
          <w:tcPr>
            <w:tcW w:type="dxa" w:w="4873"/>
            <w:shd w:val="clear" w:color="auto" w:fill="F3F4F6"/>
          </w:tcPr>
          <w:p>
            <w:pPr>
              <w:spacing w:before="40" w:after="40"/>
            </w:pPr>
            <w:r>
              <w:rPr>
                <w:color w:val="374151"/>
                <w:sz w:val="19"/>
              </w:rPr>
              <w:t>User Management</w:t>
            </w:r>
          </w:p>
        </w:tc>
        <w:tc>
          <w:tcPr>
            <w:tcW w:type="dxa" w:w="4873"/>
            <w:shd w:val="clear" w:color="auto" w:fill="F3F4F6"/>
          </w:tcPr>
          <w:p>
            <w:pPr>
              <w:spacing w:before="40" w:after="40"/>
            </w:pPr>
            <w:r>
              <w:rPr>
                <w:color w:val="374151"/>
                <w:sz w:val="19"/>
              </w:rPr>
              <w:t>Add / edit / deactivate users; login history.</w:t>
            </w:r>
          </w:p>
        </w:tc>
      </w:tr>
    </w:tbl>
    <w:p/>
    <w:p>
      <w:r>
        <w:br w:type="page"/>
      </w:r>
    </w:p>
    <w:p>
      <w:pPr>
        <w:pStyle w:val="Heading1"/>
      </w:pPr>
      <w:r>
        <w:t>Consolidated Master Facility Database</w:t>
      </w:r>
    </w:p>
    <w:p>
      <w:pPr>
        <w:pBdr>
          <w:left w:val="single" w:sz="24" w:space="8" w:color="0E7C7B"/>
        </w:pBdr>
        <w:ind w:left="170"/>
      </w:pPr>
      <w:r>
        <w:rPr>
          <w:b/>
          <w:color w:val="0E7C7B"/>
          <w:sz w:val="18"/>
        </w:rPr>
        <w:t xml:space="preserve">IN THIS SECTION  </w:t>
      </w:r>
      <w:r>
        <w:rPr>
          <w:i/>
          <w:color w:val="1F2937"/>
          <w:sz w:val="20"/>
        </w:rPr>
        <w:t>The master list of every facility, with add / edit / delete, invitations, and Send EPV.</w:t>
      </w:r>
    </w:p>
    <w:p>
      <w:pPr>
        <w:pStyle w:val="Heading2"/>
      </w:pPr>
      <w:r>
        <w:t>The badges</w:t>
      </w:r>
    </w:p>
    <w:tbl>
      <w:tblPr>
        <w:tblW w:type="auto" w:w="0"/>
        <w:jc w:val="lef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873"/>
        <w:gridCol w:w="4873"/>
      </w:tblGrid>
      <w:tr>
        <w:tc>
          <w:tcPr>
            <w:tcW w:type="dxa" w:w="4873"/>
            <w:shd w:val="clear" w:color="auto" w:fill="0E7C7B"/>
          </w:tcPr>
          <w:p>
            <w:pPr>
              <w:spacing w:before="40" w:after="40"/>
            </w:pPr>
            <w:r>
              <w:rPr>
                <w:b/>
                <w:color w:val="FFFFFF"/>
                <w:sz w:val="20"/>
              </w:rPr>
              <w:t>Badge</w:t>
            </w:r>
          </w:p>
        </w:tc>
        <w:tc>
          <w:tcPr>
            <w:tcW w:type="dxa" w:w="4873"/>
            <w:shd w:val="clear" w:color="auto" w:fill="0E7C7B"/>
          </w:tcPr>
          <w:p>
            <w:pPr>
              <w:spacing w:before="40" w:after="40"/>
            </w:pPr>
            <w:r>
              <w:rPr>
                <w:b/>
                <w:color w:val="FFFFFF"/>
                <w:sz w:val="20"/>
              </w:rPr>
              <w:t>Meaning</w:t>
            </w:r>
          </w:p>
        </w:tc>
      </w:tr>
      <w:tr>
        <w:tc>
          <w:tcPr>
            <w:tcW w:type="dxa" w:w="4873"/>
          </w:tcPr>
          <w:p>
            <w:pPr>
              <w:spacing w:before="40" w:after="40"/>
            </w:pPr>
            <w:r>
              <w:rPr>
                <w:color w:val="374151"/>
                <w:sz w:val="19"/>
              </w:rPr>
              <w:t>Verified</w:t>
            </w:r>
          </w:p>
        </w:tc>
        <w:tc>
          <w:tcPr>
            <w:tcW w:type="dxa" w:w="4873"/>
          </w:tcPr>
          <w:p>
            <w:pPr>
              <w:spacing w:before="40" w:after="40"/>
            </w:pPr>
            <w:r>
              <w:rPr>
                <w:color w:val="374151"/>
                <w:sz w:val="19"/>
              </w:rPr>
              <w:t>A Company Admin has accepted the invitation and completed the onboarding wizard.</w:t>
            </w:r>
          </w:p>
        </w:tc>
      </w:tr>
      <w:tr>
        <w:tc>
          <w:tcPr>
            <w:tcW w:type="dxa" w:w="4873"/>
            <w:shd w:val="clear" w:color="auto" w:fill="F3F4F6"/>
          </w:tcPr>
          <w:p>
            <w:pPr>
              <w:spacing w:before="40" w:after="40"/>
            </w:pPr>
            <w:r>
              <w:rPr>
                <w:color w:val="374151"/>
                <w:sz w:val="19"/>
              </w:rPr>
              <w:t>On EPV Cycle</w:t>
            </w:r>
          </w:p>
        </w:tc>
        <w:tc>
          <w:tcPr>
            <w:tcW w:type="dxa" w:w="4873"/>
            <w:shd w:val="clear" w:color="auto" w:fill="F3F4F6"/>
          </w:tcPr>
          <w:p>
            <w:pPr>
              <w:spacing w:before="40" w:after="40"/>
            </w:pPr>
            <w:r>
              <w:rPr>
                <w:color w:val="374151"/>
                <w:sz w:val="19"/>
              </w:rPr>
              <w:t>The facility is on the monthly auto-send schedule.</w:t>
            </w:r>
          </w:p>
        </w:tc>
      </w:tr>
    </w:tbl>
    <w:p/>
    <w:p>
      <w:pPr>
        <w:pStyle w:val="Heading2"/>
      </w:pPr>
      <w:r>
        <w:t>Common actions</w:t>
      </w:r>
    </w:p>
    <w:p>
      <w:pPr>
        <w:pStyle w:val="ListBullet"/>
      </w:pPr>
      <w:r>
        <w:rPr>
          <w:color w:val="374151"/>
          <w:sz w:val="21"/>
        </w:rPr>
        <w:t>Add New — opens an inline row. Business Name is required; other fields can be filled progressively.</w:t>
      </w:r>
    </w:p>
    <w:p>
      <w:pPr>
        <w:pStyle w:val="ListBullet"/>
      </w:pPr>
      <w:r>
        <w:rPr>
          <w:color w:val="374151"/>
          <w:sz w:val="21"/>
        </w:rPr>
        <w:t>Edit — inline edit; only the changed cell is written. Every change is logged in the Change Log.</w:t>
      </w:r>
    </w:p>
    <w:p>
      <w:pPr>
        <w:pStyle w:val="ListBullet"/>
      </w:pPr>
      <w:r>
        <w:rPr>
          <w:color w:val="374151"/>
          <w:sz w:val="21"/>
        </w:rPr>
        <w:t>Del — removes the facility AND every linked EPV, invitation, and audit row. Confirm before you click.</w:t>
      </w:r>
    </w:p>
    <w:p>
      <w:pPr>
        <w:pStyle w:val="ListBullet"/>
      </w:pPr>
      <w:r>
        <w:rPr>
          <w:color w:val="374151"/>
          <w:sz w:val="21"/>
        </w:rPr>
        <w:t>Invite — opens the invitation modal to add a Company Admin. Their acceptance triggers the "Verified" badge.</w:t>
      </w:r>
    </w:p>
    <w:p>
      <w:pPr>
        <w:pStyle w:val="ListBullet"/>
      </w:pPr>
      <w:r>
        <w:rPr>
          <w:color w:val="374151"/>
          <w:sz w:val="21"/>
        </w:rPr>
        <w:t>Send EPV — creates the previous-month EPV and emails all four addresses on file. First send also flips EPVCycleStatus to "On EPV Cycle" so the automatic monthly sends kick in next month.</w:t>
      </w:r>
    </w:p>
    <w:p>
      <w:pPr>
        <w:pStyle w:val="ListBullet"/>
      </w:pPr>
      <w:r>
        <w:rPr>
          <w:color w:val="374151"/>
          <w:sz w:val="21"/>
        </w:rPr>
        <w:t>Export to Excel — downloads the current search view. Include Verified status, On EPV Cycle status, and Assigned Inspector.</w:t>
      </w:r>
    </w:p>
    <w:p>
      <w:pPr>
        <w:pStyle w:val="ListBullet"/>
      </w:pPr>
      <w:r>
        <w:rPr>
          <w:color w:val="374151"/>
          <w:sz w:val="21"/>
        </w:rPr>
        <w:t>Change Log — flips the view to the audit trail. Every field-level change is here.</w:t>
      </w:r>
    </w:p>
    <w:p>
      <w:pPr>
        <w:shd w:val="clear" w:color="auto" w:fill="FEF3C7"/>
        <w:spacing w:before="120" w:after="120"/>
        <w:ind w:left="170" w:right="170"/>
      </w:pPr>
      <w:r>
        <w:rPr>
          <w:b/>
          <w:color w:val="92400E"/>
          <w:sz w:val="18"/>
        </w:rPr>
        <w:t xml:space="preserve">IMPORTANT  </w:t>
      </w:r>
      <w:r>
        <w:rPr>
          <w:color w:val="1F2937"/>
          <w:sz w:val="20"/>
        </w:rPr>
        <w:t>Delete is irreversible without a database restore. If in doubt, "deactivate" instead by clearing the primary email so no auto-sends fire, then remove later.</w:t>
      </w:r>
    </w:p>
    <w:p>
      <w:r>
        <w:br w:type="page"/>
      </w:r>
    </w:p>
    <w:p>
      <w:pPr>
        <w:pStyle w:val="Heading1"/>
      </w:pPr>
      <w:r>
        <w:t>Company Overview</w:t>
      </w:r>
    </w:p>
    <w:p>
      <w:pPr>
        <w:pBdr>
          <w:left w:val="single" w:sz="24" w:space="8" w:color="0E7C7B"/>
        </w:pBdr>
        <w:ind w:left="170"/>
      </w:pPr>
      <w:r>
        <w:rPr>
          <w:b/>
          <w:color w:val="0E7C7B"/>
          <w:sz w:val="18"/>
        </w:rPr>
        <w:t xml:space="preserve">IN THIS SECTION  </w:t>
      </w:r>
      <w:r>
        <w:rPr>
          <w:i/>
          <w:color w:val="1F2937"/>
          <w:sz w:val="20"/>
        </w:rPr>
        <w:t>Everything about one facility on a single page.</w:t>
      </w:r>
    </w:p>
    <w:p>
      <w:pPr>
        <w:pStyle w:val="Heading2"/>
      </w:pPr>
      <w:r>
        <w:t>Sections</w:t>
      </w:r>
    </w:p>
    <w:p>
      <w:pPr>
        <w:pStyle w:val="ListBullet"/>
      </w:pPr>
      <w:r>
        <w:rPr>
          <w:color w:val="374151"/>
          <w:sz w:val="21"/>
        </w:rPr>
        <w:t>Company Details — editable business information.</w:t>
      </w:r>
    </w:p>
    <w:p>
      <w:pPr>
        <w:pStyle w:val="ListBullet"/>
      </w:pPr>
      <w:r>
        <w:rPr>
          <w:color w:val="374151"/>
          <w:sz w:val="21"/>
        </w:rPr>
        <w:t>Company Users — invite, list, remove.</w:t>
      </w:r>
    </w:p>
    <w:p>
      <w:pPr>
        <w:pStyle w:val="ListBullet"/>
      </w:pPr>
      <w:r>
        <w:rPr>
          <w:color w:val="374151"/>
          <w:sz w:val="21"/>
        </w:rPr>
        <w:t>EPVs — full monthly history. Click a row to expand: progress tracker + Levy Invoice from ALS panel when applicable.</w:t>
      </w:r>
    </w:p>
    <w:p>
      <w:pPr>
        <w:pStyle w:val="ListBullet"/>
      </w:pPr>
      <w:r>
        <w:rPr>
          <w:color w:val="374151"/>
          <w:sz w:val="21"/>
        </w:rPr>
        <w:t>Resend Email — re-emails a Pending EPV without duplicating the record.</w:t>
      </w:r>
    </w:p>
    <w:p>
      <w:pPr>
        <w:pStyle w:val="ListBullet"/>
      </w:pPr>
      <w:r>
        <w:rPr>
          <w:color w:val="374151"/>
          <w:sz w:val="21"/>
        </w:rPr>
        <w:t>Reconciliation — manually mark reconciled or set the received amount.</w:t>
      </w:r>
    </w:p>
    <w:p>
      <w:pPr>
        <w:pStyle w:val="ListBullet"/>
      </w:pPr>
      <w:r>
        <w:rPr>
          <w:color w:val="374151"/>
          <w:sz w:val="21"/>
        </w:rPr>
        <w:t>Change Log — audit of every action against this facility.</w:t>
      </w:r>
    </w:p>
    <w:p>
      <w:pPr>
        <w:pStyle w:val="Heading2"/>
      </w:pPr>
      <w:r>
        <w:t>Approve / Reject override</w:t>
      </w:r>
    </w:p>
    <w:p>
      <w:r>
        <w:rPr>
          <w:color w:val="374151"/>
          <w:sz w:val="21"/>
        </w:rPr>
        <w:t>You can override an inspector's decision by toggling the Verify column back and forth. Use sparingly — it should only be needed when an inspector made a genuine mistake and cannot correct it themselves.</w:t>
      </w:r>
    </w:p>
    <w:p>
      <w:r>
        <w:br w:type="page"/>
      </w:r>
    </w:p>
    <w:p>
      <w:pPr>
        <w:pStyle w:val="Heading1"/>
      </w:pPr>
      <w:r>
        <w:t>Dashboard</w:t>
      </w:r>
    </w:p>
    <w:p>
      <w:pPr>
        <w:pBdr>
          <w:left w:val="single" w:sz="24" w:space="8" w:color="0E7C7B"/>
        </w:pBdr>
        <w:ind w:left="170"/>
      </w:pPr>
      <w:r>
        <w:rPr>
          <w:b/>
          <w:color w:val="0E7C7B"/>
          <w:sz w:val="18"/>
        </w:rPr>
        <w:t xml:space="preserve">IN THIS SECTION  </w:t>
      </w:r>
      <w:r>
        <w:rPr>
          <w:i/>
          <w:color w:val="1F2937"/>
          <w:sz w:val="20"/>
        </w:rPr>
        <w:t>Single-glance view of every facility, verification, and payment.</w:t>
      </w:r>
    </w:p>
    <w:p>
      <w:pPr>
        <w:pStyle w:val="Heading2"/>
      </w:pPr>
      <w:r>
        <w:t>Filters</w:t>
      </w:r>
    </w:p>
    <w:p>
      <w:r>
        <w:rPr>
          <w:color w:val="374151"/>
          <w:sz w:val="21"/>
        </w:rPr>
        <w:t>Filter cascades: Year → Quarter → Month. Every KPI, chart, and money figure follows the filter.</w:t>
      </w:r>
    </w:p>
    <w:p>
      <w:pPr>
        <w:pStyle w:val="Heading2"/>
      </w:pPr>
      <w:r>
        <w:t>KPI ribbon</w:t>
      </w:r>
    </w:p>
    <w:tbl>
      <w:tblPr>
        <w:tblW w:type="auto" w:w="0"/>
        <w:jc w:val="lef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873"/>
        <w:gridCol w:w="4873"/>
      </w:tblGrid>
      <w:tr>
        <w:tc>
          <w:tcPr>
            <w:tcW w:type="dxa" w:w="4873"/>
            <w:shd w:val="clear" w:color="auto" w:fill="0E7C7B"/>
          </w:tcPr>
          <w:p>
            <w:pPr>
              <w:spacing w:before="40" w:after="40"/>
            </w:pPr>
            <w:r>
              <w:rPr>
                <w:b/>
                <w:color w:val="FFFFFF"/>
                <w:sz w:val="20"/>
              </w:rPr>
              <w:t>KPI</w:t>
            </w:r>
          </w:p>
        </w:tc>
        <w:tc>
          <w:tcPr>
            <w:tcW w:type="dxa" w:w="4873"/>
            <w:shd w:val="clear" w:color="auto" w:fill="0E7C7B"/>
          </w:tcPr>
          <w:p>
            <w:pPr>
              <w:spacing w:before="40" w:after="40"/>
            </w:pPr>
            <w:r>
              <w:rPr>
                <w:b/>
                <w:color w:val="FFFFFF"/>
                <w:sz w:val="20"/>
              </w:rPr>
              <w:t>Meaning</w:t>
            </w:r>
          </w:p>
        </w:tc>
      </w:tr>
      <w:tr>
        <w:tc>
          <w:tcPr>
            <w:tcW w:type="dxa" w:w="4873"/>
          </w:tcPr>
          <w:p>
            <w:pPr>
              <w:spacing w:before="40" w:after="40"/>
            </w:pPr>
            <w:r>
              <w:rPr>
                <w:color w:val="374151"/>
                <w:sz w:val="19"/>
              </w:rPr>
              <w:t>Facilities</w:t>
            </w:r>
          </w:p>
        </w:tc>
        <w:tc>
          <w:tcPr>
            <w:tcW w:type="dxa" w:w="4873"/>
          </w:tcPr>
          <w:p>
            <w:pPr>
              <w:spacing w:before="40" w:after="40"/>
            </w:pPr>
            <w:r>
              <w:rPr>
                <w:color w:val="374151"/>
                <w:sz w:val="19"/>
              </w:rPr>
              <w:t>Total facilities in the Master DB.</w:t>
            </w:r>
          </w:p>
        </w:tc>
      </w:tr>
      <w:tr>
        <w:tc>
          <w:tcPr>
            <w:tcW w:type="dxa" w:w="4873"/>
            <w:shd w:val="clear" w:color="auto" w:fill="F3F4F6"/>
          </w:tcPr>
          <w:p>
            <w:pPr>
              <w:spacing w:before="40" w:after="40"/>
            </w:pPr>
            <w:r>
              <w:rPr>
                <w:color w:val="374151"/>
                <w:sz w:val="19"/>
              </w:rPr>
              <w:t>Completed EPVs</w:t>
            </w:r>
          </w:p>
        </w:tc>
        <w:tc>
          <w:tcPr>
            <w:tcW w:type="dxa" w:w="4873"/>
            <w:shd w:val="clear" w:color="auto" w:fill="F3F4F6"/>
          </w:tcPr>
          <w:p>
            <w:pPr>
              <w:spacing w:before="40" w:after="40"/>
            </w:pPr>
            <w:r>
              <w:rPr>
                <w:color w:val="374151"/>
                <w:sz w:val="19"/>
              </w:rPr>
              <w:t>Submitted EPVs in the filter window.</w:t>
            </w:r>
          </w:p>
        </w:tc>
      </w:tr>
      <w:tr>
        <w:tc>
          <w:tcPr>
            <w:tcW w:type="dxa" w:w="4873"/>
          </w:tcPr>
          <w:p>
            <w:pPr>
              <w:spacing w:before="40" w:after="40"/>
            </w:pPr>
            <w:r>
              <w:rPr>
                <w:color w:val="374151"/>
                <w:sz w:val="19"/>
              </w:rPr>
              <w:t>Verified</w:t>
            </w:r>
          </w:p>
        </w:tc>
        <w:tc>
          <w:tcPr>
            <w:tcW w:type="dxa" w:w="4873"/>
          </w:tcPr>
          <w:p>
            <w:pPr>
              <w:spacing w:before="40" w:after="40"/>
            </w:pPr>
            <w:r>
              <w:rPr>
                <w:color w:val="374151"/>
                <w:sz w:val="19"/>
              </w:rPr>
              <w:t>IsVerified = 1 EPVs.</w:t>
            </w:r>
          </w:p>
        </w:tc>
      </w:tr>
      <w:tr>
        <w:tc>
          <w:tcPr>
            <w:tcW w:type="dxa" w:w="4873"/>
            <w:shd w:val="clear" w:color="auto" w:fill="F3F4F6"/>
          </w:tcPr>
          <w:p>
            <w:pPr>
              <w:spacing w:before="40" w:after="40"/>
            </w:pPr>
            <w:r>
              <w:rPr>
                <w:color w:val="374151"/>
                <w:sz w:val="19"/>
              </w:rPr>
              <w:t>Rejections</w:t>
            </w:r>
          </w:p>
        </w:tc>
        <w:tc>
          <w:tcPr>
            <w:tcW w:type="dxa" w:w="4873"/>
            <w:shd w:val="clear" w:color="auto" w:fill="F3F4F6"/>
          </w:tcPr>
          <w:p>
            <w:pPr>
              <w:spacing w:before="40" w:after="40"/>
            </w:pPr>
            <w:r>
              <w:rPr>
                <w:color w:val="374151"/>
                <w:sz w:val="19"/>
              </w:rPr>
              <w:t>Number of Inspector EPVs (implies facility was rejected).</w:t>
            </w:r>
          </w:p>
        </w:tc>
      </w:tr>
      <w:tr>
        <w:tc>
          <w:tcPr>
            <w:tcW w:type="dxa" w:w="4873"/>
          </w:tcPr>
          <w:p>
            <w:pPr>
              <w:spacing w:before="40" w:after="40"/>
            </w:pPr>
            <w:r>
              <w:rPr>
                <w:color w:val="374151"/>
                <w:sz w:val="19"/>
              </w:rPr>
              <w:t>Inspections Done</w:t>
            </w:r>
          </w:p>
        </w:tc>
        <w:tc>
          <w:tcPr>
            <w:tcW w:type="dxa" w:w="4873"/>
          </w:tcPr>
          <w:p>
            <w:pPr>
              <w:spacing w:before="40" w:after="40"/>
            </w:pPr>
            <w:r>
              <w:rPr>
                <w:color w:val="374151"/>
                <w:sz w:val="19"/>
              </w:rPr>
              <w:t>Physical inspections captured (ManualInspection).</w:t>
            </w:r>
          </w:p>
        </w:tc>
      </w:tr>
      <w:tr>
        <w:tc>
          <w:tcPr>
            <w:tcW w:type="dxa" w:w="4873"/>
            <w:shd w:val="clear" w:color="auto" w:fill="F3F4F6"/>
          </w:tcPr>
          <w:p>
            <w:pPr>
              <w:spacing w:before="40" w:after="40"/>
            </w:pPr>
            <w:r>
              <w:rPr>
                <w:color w:val="374151"/>
                <w:sz w:val="19"/>
              </w:rPr>
              <w:t>Outstanding</w:t>
            </w:r>
          </w:p>
        </w:tc>
        <w:tc>
          <w:tcPr>
            <w:tcW w:type="dxa" w:w="4873"/>
            <w:shd w:val="clear" w:color="auto" w:fill="F3F4F6"/>
          </w:tcPr>
          <w:p>
            <w:pPr>
              <w:spacing w:before="40" w:after="40"/>
            </w:pPr>
            <w:r>
              <w:rPr>
                <w:color w:val="374151"/>
                <w:sz w:val="19"/>
              </w:rPr>
              <w:t>Facilities missing an EPV for the current period.</w:t>
            </w:r>
          </w:p>
        </w:tc>
      </w:tr>
    </w:tbl>
    <w:p/>
    <w:p>
      <w:pPr>
        <w:pStyle w:val="Heading2"/>
      </w:pPr>
      <w:r>
        <w:t>Financial module</w:t>
      </w:r>
    </w:p>
    <w:p>
      <w:r>
        <w:rPr>
          <w:color w:val="374151"/>
          <w:sz w:val="21"/>
        </w:rPr>
        <w:t>Total Billed, Total Paid, Outstanding, Egg Levy, Pulp Levy (with kg + dozens), Powder Levy (with kg), Collection Rate. Two charts — Billed vs Paid month over month, and Egg vs Pulp vs Powder Levy trends.</w:t>
      </w:r>
    </w:p>
    <w:p>
      <w:pPr>
        <w:pStyle w:val="Heading2"/>
      </w:pPr>
      <w:r>
        <w:t>Province Overview</w:t>
      </w:r>
    </w:p>
    <w:p>
      <w:r>
        <w:rPr>
          <w:color w:val="374151"/>
          <w:sz w:val="21"/>
        </w:rPr>
        <w:t>Facility distribution pie + per-province rejection bar chart. Handy for spotting geographic clusters of issues.</w:t>
      </w:r>
    </w:p>
    <w:p>
      <w:r>
        <w:br w:type="page"/>
      </w:r>
    </w:p>
    <w:p>
      <w:pPr>
        <w:pStyle w:val="Heading1"/>
      </w:pPr>
      <w:r>
        <w:t>Administrators (reconciliation)</w:t>
      </w:r>
    </w:p>
    <w:p>
      <w:pPr>
        <w:pBdr>
          <w:left w:val="single" w:sz="24" w:space="8" w:color="0E7C7B"/>
        </w:pBdr>
        <w:ind w:left="170"/>
      </w:pPr>
      <w:r>
        <w:rPr>
          <w:b/>
          <w:color w:val="0E7C7B"/>
          <w:sz w:val="18"/>
        </w:rPr>
        <w:t xml:space="preserve">IN THIS SECTION  </w:t>
      </w:r>
      <w:r>
        <w:rPr>
          <w:i/>
          <w:color w:val="1F2937"/>
          <w:sz w:val="20"/>
        </w:rPr>
        <w:t>The reconciliation control centre for large payment batches.</w:t>
      </w:r>
    </w:p>
    <w:p>
      <w:r>
        <w:rPr>
          <w:color w:val="374151"/>
          <w:sz w:val="21"/>
        </w:rPr>
        <w:t>Every completed EPV is listed with its POP, reconciled state, and amount. When a bank statement lands, work down the list ticking off each payment. Batch actions are available for multi-select.</w:t>
      </w:r>
    </w:p>
    <w:p>
      <w:pPr>
        <w:shd w:val="clear" w:color="auto" w:fill="DBEAFE"/>
        <w:spacing w:before="120" w:after="120"/>
        <w:ind w:left="170" w:right="170"/>
      </w:pPr>
      <w:r>
        <w:rPr>
          <w:b/>
          <w:color w:val="1E40AF"/>
          <w:sz w:val="18"/>
        </w:rPr>
        <w:t xml:space="preserve">NOTE  </w:t>
      </w:r>
      <w:r>
        <w:rPr>
          <w:color w:val="1F2937"/>
          <w:sz w:val="20"/>
        </w:rPr>
        <w:t>Amounts entered here write to the same fields ALS uses on ALS Collections. Whichever team logs the payment first wins — the audit log records who and when.</w:t>
      </w:r>
    </w:p>
    <w:p>
      <w:r>
        <w:br w:type="page"/>
      </w:r>
    </w:p>
    <w:p>
      <w:pPr>
        <w:pStyle w:val="Heading1"/>
      </w:pPr>
      <w:r>
        <w:t>Inspectors</w:t>
      </w:r>
    </w:p>
    <w:p>
      <w:pPr>
        <w:pBdr>
          <w:left w:val="single" w:sz="24" w:space="8" w:color="0E7C7B"/>
        </w:pBdr>
        <w:ind w:left="170"/>
      </w:pPr>
      <w:r>
        <w:rPr>
          <w:b/>
          <w:color w:val="0E7C7B"/>
          <w:sz w:val="18"/>
        </w:rPr>
        <w:t xml:space="preserve">IN THIS SECTION  </w:t>
      </w:r>
      <w:r>
        <w:rPr>
          <w:i/>
          <w:color w:val="1F2937"/>
          <w:sz w:val="20"/>
        </w:rPr>
        <w:t>Inspector performance and workload management.</w:t>
      </w:r>
    </w:p>
    <w:p>
      <w:r>
        <w:rPr>
          <w:color w:val="374151"/>
          <w:sz w:val="21"/>
        </w:rPr>
        <w:t>Assign inspectors to facilities, view each inspector's KPIs (approvals, facilities visited, rejections), and jump into an EPV to override an approval where needed.</w:t>
      </w:r>
    </w:p>
    <w:p>
      <w:r>
        <w:rPr>
          <w:color w:val="374151"/>
          <w:sz w:val="21"/>
        </w:rPr>
        <w:t>Super Admins can also be selected as inspectors for allocation purposes when coverage is short — this lets you approve directly without creating an "Inspector" role user.</w:t>
      </w:r>
    </w:p>
    <w:p>
      <w:r>
        <w:br w:type="page"/>
      </w:r>
    </w:p>
    <w:p>
      <w:pPr>
        <w:pStyle w:val="Heading1"/>
      </w:pPr>
      <w:r>
        <w:t>ALS Collections (transparency oversight)</w:t>
      </w:r>
    </w:p>
    <w:p>
      <w:pPr>
        <w:pBdr>
          <w:left w:val="single" w:sz="24" w:space="8" w:color="0E7C7B"/>
        </w:pBdr>
        <w:ind w:left="170"/>
      </w:pPr>
      <w:r>
        <w:rPr>
          <w:b/>
          <w:color w:val="0E7C7B"/>
          <w:sz w:val="18"/>
        </w:rPr>
        <w:t xml:space="preserve">IN THIS SECTION  </w:t>
      </w:r>
      <w:r>
        <w:rPr>
          <w:i/>
          <w:color w:val="1F2937"/>
          <w:sz w:val="20"/>
        </w:rPr>
        <w:t>The 3rd-party collector's worksurface. You see everything they do.</w:t>
      </w:r>
    </w:p>
    <w:p>
      <w:pPr>
        <w:pStyle w:val="Heading2"/>
      </w:pPr>
      <w:r>
        <w:t>What appears here</w:t>
      </w:r>
    </w:p>
    <w:p>
      <w:r>
        <w:rPr>
          <w:color w:val="374151"/>
          <w:sz w:val="21"/>
        </w:rPr>
        <w:t>Only EPVs that are inspection-cleared appear (approved by inspector, OR rejected with a completed Inspector EPV). Pending inspector reviews are hidden.</w:t>
      </w:r>
    </w:p>
    <w:p>
      <w:pPr>
        <w:pStyle w:val="Heading2"/>
      </w:pPr>
      <w:r>
        <w:t>What you can do</w:t>
      </w:r>
    </w:p>
    <w:p>
      <w:pPr>
        <w:pStyle w:val="ListBullet"/>
      </w:pPr>
      <w:r>
        <w:rPr>
          <w:color w:val="374151"/>
          <w:sz w:val="21"/>
        </w:rPr>
        <w:t>Everything ALS can do — mark invoice sent, upload the invoice PDF, reconcile the payment (short-pays supported), comment, view the facility's POP.</w:t>
      </w:r>
    </w:p>
    <w:p>
      <w:pPr>
        <w:pStyle w:val="ListBullet"/>
      </w:pPr>
      <w:r>
        <w:rPr>
          <w:color w:val="374151"/>
          <w:sz w:val="21"/>
        </w:rPr>
        <w:t>Export to Excel — nicely-named file (`ALS Collections Report - {Month YYYY} - {date}.xlsx`) honouring your current filters.</w:t>
      </w:r>
    </w:p>
    <w:p>
      <w:pPr>
        <w:pStyle w:val="Heading2"/>
      </w:pPr>
      <w:r>
        <w:t>The transparency log</w:t>
      </w:r>
    </w:p>
    <w:p>
      <w:r>
        <w:rPr>
          <w:color w:val="374151"/>
          <w:sz w:val="21"/>
        </w:rPr>
        <w:t>Every ALS-side and Super-Admin-side action is logged and shown at the bottom of every expanded row. Green badge = ALS. Indigo badge = Super Admin. Nothing is hidden from either party.</w:t>
      </w:r>
    </w:p>
    <w:p>
      <w:pPr>
        <w:shd w:val="clear" w:color="auto" w:fill="D1FAE5"/>
        <w:spacing w:before="120" w:after="120"/>
        <w:ind w:left="170" w:right="170"/>
      </w:pPr>
      <w:r>
        <w:rPr>
          <w:b/>
          <w:color w:val="047857"/>
          <w:sz w:val="18"/>
        </w:rPr>
        <w:t xml:space="preserve">TIP  </w:t>
      </w:r>
      <w:r>
        <w:rPr>
          <w:color w:val="1F2937"/>
          <w:sz w:val="20"/>
        </w:rPr>
        <w:t>Use this log during monthly reconciliation reviews with ALS. Point at the badges to show who did what, and use the "From → To" columns for audit sign-off.</w:t>
      </w:r>
    </w:p>
    <w:p>
      <w:r>
        <w:br w:type="page"/>
      </w:r>
    </w:p>
    <w:p>
      <w:pPr>
        <w:pStyle w:val="Heading1"/>
      </w:pPr>
      <w:r>
        <w:t>User Management</w:t>
      </w:r>
    </w:p>
    <w:p>
      <w:pPr>
        <w:pBdr>
          <w:left w:val="single" w:sz="24" w:space="8" w:color="0E7C7B"/>
        </w:pBdr>
        <w:ind w:left="170"/>
      </w:pPr>
      <w:r>
        <w:rPr>
          <w:b/>
          <w:color w:val="0E7C7B"/>
          <w:sz w:val="18"/>
        </w:rPr>
        <w:t xml:space="preserve">IN THIS SECTION  </w:t>
      </w:r>
      <w:r>
        <w:rPr>
          <w:i/>
          <w:color w:val="1F2937"/>
          <w:sz w:val="20"/>
        </w:rPr>
        <w:t>Adding users, changing roles, resetting passwords, and reviewing every login.</w:t>
      </w:r>
    </w:p>
    <w:p>
      <w:pPr>
        <w:pStyle w:val="Heading2"/>
      </w:pPr>
      <w:r>
        <w:t>Adding a user</w:t>
      </w:r>
    </w:p>
    <w:p>
      <w:r>
        <w:rPr>
          <w:b/>
          <w:color w:val="0A5C5B"/>
          <w:sz w:val="21"/>
        </w:rPr>
        <w:t xml:space="preserve">  1.  </w:t>
      </w:r>
      <w:r>
        <w:rPr>
          <w:color w:val="374151"/>
          <w:sz w:val="21"/>
        </w:rPr>
        <w:t>Click "+ Add User" on the User Management page.</w:t>
      </w:r>
    </w:p>
    <w:p>
      <w:r>
        <w:rPr>
          <w:b/>
          <w:color w:val="0A5C5B"/>
          <w:sz w:val="21"/>
        </w:rPr>
        <w:t xml:space="preserve">  2.  </w:t>
      </w:r>
      <w:r>
        <w:rPr>
          <w:color w:val="374151"/>
          <w:sz w:val="21"/>
        </w:rPr>
        <w:t>Pick a role: Super Admin, Admin, ALS, Inspector, Company Admin, or User.</w:t>
      </w:r>
    </w:p>
    <w:p>
      <w:r>
        <w:rPr>
          <w:b/>
          <w:color w:val="0A5C5B"/>
          <w:sz w:val="21"/>
        </w:rPr>
        <w:t xml:space="preserve">  3.  </w:t>
      </w:r>
      <w:r>
        <w:rPr>
          <w:color w:val="374151"/>
          <w:sz w:val="21"/>
        </w:rPr>
        <w:t>For Company Admin and User, pick the facility to link to.</w:t>
      </w:r>
    </w:p>
    <w:p>
      <w:r>
        <w:rPr>
          <w:b/>
          <w:color w:val="0A5C5B"/>
          <w:sz w:val="21"/>
        </w:rPr>
        <w:t xml:space="preserve">  4.  </w:t>
      </w:r>
      <w:r>
        <w:rPr>
          <w:color w:val="374151"/>
          <w:sz w:val="21"/>
        </w:rPr>
        <w:t>Enter first name, last name, email, and set a temporary password (they can reset later).</w:t>
      </w:r>
    </w:p>
    <w:p>
      <w:r>
        <w:rPr>
          <w:b/>
          <w:color w:val="0A5C5B"/>
          <w:sz w:val="21"/>
        </w:rPr>
        <w:t xml:space="preserve">  5.  </w:t>
      </w:r>
      <w:r>
        <w:rPr>
          <w:color w:val="374151"/>
          <w:sz w:val="21"/>
        </w:rPr>
        <w:t>Save. The user can now log in.</w:t>
      </w:r>
    </w:p>
    <w:p>
      <w:pPr>
        <w:pStyle w:val="Heading2"/>
      </w:pPr>
      <w:r>
        <w:t>Reset password / deactivate</w:t>
      </w:r>
    </w:p>
    <w:p>
      <w:r>
        <w:rPr>
          <w:color w:val="374151"/>
          <w:sz w:val="21"/>
        </w:rPr>
        <w:t>Use "Reset PW" for a password change, "Deactivate" to keep the record but block login. Deactivated users can be reactivated later.</w:t>
      </w:r>
    </w:p>
    <w:p>
      <w:pPr>
        <w:pStyle w:val="Heading2"/>
      </w:pPr>
      <w:r>
        <w:t>Login History</w:t>
      </w:r>
    </w:p>
    <w:p>
      <w:r>
        <w:rPr>
          <w:color w:val="374151"/>
          <w:sz w:val="21"/>
        </w:rPr>
        <w:t>The Login History button opens the audit log of every login attempt — successful and failed — with timestamp, email, IP, and reason for any failure. Use it when investigating suspicious account activity.</w:t>
      </w:r>
    </w:p>
    <w:p>
      <w:r>
        <w:br w:type="page"/>
      </w:r>
    </w:p>
    <w:p>
      <w:pPr>
        <w:pStyle w:val="Heading1"/>
      </w:pPr>
      <w:r>
        <w:t>Common workflows</w:t>
      </w:r>
    </w:p>
    <w:p>
      <w:pPr>
        <w:pBdr>
          <w:left w:val="single" w:sz="24" w:space="8" w:color="0E7C7B"/>
        </w:pBdr>
        <w:ind w:left="170"/>
      </w:pPr>
      <w:r>
        <w:rPr>
          <w:b/>
          <w:color w:val="0E7C7B"/>
          <w:sz w:val="18"/>
        </w:rPr>
        <w:t xml:space="preserve">IN THIS SECTION  </w:t>
      </w:r>
      <w:r>
        <w:rPr>
          <w:i/>
          <w:color w:val="1F2937"/>
          <w:sz w:val="20"/>
        </w:rPr>
        <w:t>Step-by-step for the tasks you do most.</w:t>
      </w:r>
    </w:p>
    <w:p>
      <w:pPr>
        <w:pStyle w:val="Heading2"/>
      </w:pPr>
      <w:r>
        <w:t>Onboarding a new facility</w:t>
      </w:r>
    </w:p>
    <w:p>
      <w:r>
        <w:rPr>
          <w:b/>
          <w:color w:val="0A5C5B"/>
          <w:sz w:val="21"/>
        </w:rPr>
        <w:t xml:space="preserve">  1.  </w:t>
      </w:r>
      <w:r>
        <w:rPr>
          <w:color w:val="374151"/>
          <w:sz w:val="21"/>
        </w:rPr>
        <w:t>Master Facility Database → + Add New.</w:t>
      </w:r>
    </w:p>
    <w:p>
      <w:r>
        <w:rPr>
          <w:b/>
          <w:color w:val="0A5C5B"/>
          <w:sz w:val="21"/>
        </w:rPr>
        <w:t xml:space="preserve">  2.  </w:t>
      </w:r>
      <w:r>
        <w:rPr>
          <w:color w:val="374151"/>
          <w:sz w:val="21"/>
        </w:rPr>
        <w:t>Fill Business Name (required) + as much detail as you have.</w:t>
      </w:r>
    </w:p>
    <w:p>
      <w:r>
        <w:rPr>
          <w:b/>
          <w:color w:val="0A5C5B"/>
          <w:sz w:val="21"/>
        </w:rPr>
        <w:t xml:space="preserve">  3.  </w:t>
      </w:r>
      <w:r>
        <w:rPr>
          <w:color w:val="374151"/>
          <w:sz w:val="21"/>
        </w:rPr>
        <w:t>Save the row.</w:t>
      </w:r>
    </w:p>
    <w:p>
      <w:r>
        <w:rPr>
          <w:b/>
          <w:color w:val="0A5C5B"/>
          <w:sz w:val="21"/>
        </w:rPr>
        <w:t xml:space="preserve">  4.  </w:t>
      </w:r>
      <w:r>
        <w:rPr>
          <w:color w:val="374151"/>
          <w:sz w:val="21"/>
        </w:rPr>
        <w:t>Click Invite → enter the Company Admin's email.</w:t>
      </w:r>
    </w:p>
    <w:p>
      <w:r>
        <w:rPr>
          <w:b/>
          <w:color w:val="0A5C5B"/>
          <w:sz w:val="21"/>
        </w:rPr>
        <w:t xml:space="preserve">  5.  </w:t>
      </w:r>
      <w:r>
        <w:rPr>
          <w:color w:val="374151"/>
          <w:sz w:val="21"/>
        </w:rPr>
        <w:t>They accept the invite → complete the wizard → the "Verified" badge appears.</w:t>
      </w:r>
    </w:p>
    <w:p>
      <w:r>
        <w:rPr>
          <w:b/>
          <w:color w:val="0A5C5B"/>
          <w:sz w:val="21"/>
        </w:rPr>
        <w:t xml:space="preserve">  6.  </w:t>
      </w:r>
      <w:r>
        <w:rPr>
          <w:color w:val="374151"/>
          <w:sz w:val="21"/>
        </w:rPr>
        <w:t>Click Send EPV to issue their first EPV and put them on the monthly cycle.</w:t>
      </w:r>
    </w:p>
    <w:p>
      <w:pPr>
        <w:pStyle w:val="Heading2"/>
      </w:pPr>
      <w:r>
        <w:t>Overriding an inspector's decision</w:t>
      </w:r>
    </w:p>
    <w:p>
      <w:r>
        <w:rPr>
          <w:b/>
          <w:color w:val="0A5C5B"/>
          <w:sz w:val="21"/>
        </w:rPr>
        <w:t xml:space="preserve">  1.  </w:t>
      </w:r>
      <w:r>
        <w:rPr>
          <w:color w:val="374151"/>
          <w:sz w:val="21"/>
        </w:rPr>
        <w:t>Company Overview → search for the facility → open the EPV row.</w:t>
      </w:r>
    </w:p>
    <w:p>
      <w:r>
        <w:rPr>
          <w:b/>
          <w:color w:val="0A5C5B"/>
          <w:sz w:val="21"/>
        </w:rPr>
        <w:t xml:space="preserve">  2.  </w:t>
      </w:r>
      <w:r>
        <w:rPr>
          <w:color w:val="374151"/>
          <w:sz w:val="21"/>
        </w:rPr>
        <w:t>Toggle the Verify checkbox. The change is logged.</w:t>
      </w:r>
    </w:p>
    <w:p>
      <w:r>
        <w:rPr>
          <w:b/>
          <w:color w:val="0A5C5B"/>
          <w:sz w:val="21"/>
        </w:rPr>
        <w:t xml:space="preserve">  3.  </w:t>
      </w:r>
      <w:r>
        <w:rPr>
          <w:color w:val="374151"/>
          <w:sz w:val="21"/>
        </w:rPr>
        <w:t>Add a comment via Inspector Comment so the reason is on the record.</w:t>
      </w:r>
    </w:p>
    <w:p>
      <w:pPr>
        <w:pStyle w:val="Heading2"/>
      </w:pPr>
      <w:r>
        <w:t>Monthly reconciliation batch</w:t>
      </w:r>
    </w:p>
    <w:p>
      <w:r>
        <w:rPr>
          <w:b/>
          <w:color w:val="0A5C5B"/>
          <w:sz w:val="21"/>
        </w:rPr>
        <w:t xml:space="preserve">  1.  </w:t>
      </w:r>
      <w:r>
        <w:rPr>
          <w:color w:val="374151"/>
          <w:sz w:val="21"/>
        </w:rPr>
        <w:t>Administrators tab → sort by POP Uploaded date.</w:t>
      </w:r>
    </w:p>
    <w:p>
      <w:r>
        <w:rPr>
          <w:b/>
          <w:color w:val="0A5C5B"/>
          <w:sz w:val="21"/>
        </w:rPr>
        <w:t xml:space="preserve">  2.  </w:t>
      </w:r>
      <w:r>
        <w:rPr>
          <w:color w:val="374151"/>
          <w:sz w:val="21"/>
        </w:rPr>
        <w:t>Cross-reference the bank statement.</w:t>
      </w:r>
    </w:p>
    <w:p>
      <w:r>
        <w:rPr>
          <w:b/>
          <w:color w:val="0A5C5B"/>
          <w:sz w:val="21"/>
        </w:rPr>
        <w:t xml:space="preserve">  3.  </w:t>
      </w:r>
      <w:r>
        <w:rPr>
          <w:color w:val="374151"/>
          <w:sz w:val="21"/>
        </w:rPr>
        <w:t>For each matched EPV, tick Reconciled and enter the received amount.</w:t>
      </w:r>
    </w:p>
    <w:p>
      <w:r>
        <w:rPr>
          <w:b/>
          <w:color w:val="0A5C5B"/>
          <w:sz w:val="21"/>
        </w:rPr>
        <w:t xml:space="preserve">  4.  </w:t>
      </w:r>
      <w:r>
        <w:rPr>
          <w:color w:val="374151"/>
          <w:sz w:val="21"/>
        </w:rPr>
        <w:t>Short-pays: enter the amount received. Outstanding remains visible on the Dashboard.</w:t>
      </w:r>
    </w:p>
    <w:p>
      <w:r>
        <w:br w:type="page"/>
      </w:r>
    </w:p>
    <w:p>
      <w:pPr>
        <w:pStyle w:val="Heading1"/>
      </w:pPr>
      <w:r>
        <w:t>Troubleshooting</w:t>
      </w:r>
    </w:p>
    <w:p>
      <w:pPr>
        <w:pBdr>
          <w:left w:val="single" w:sz="24" w:space="8" w:color="0E7C7B"/>
        </w:pBdr>
        <w:ind w:left="170"/>
      </w:pPr>
      <w:r>
        <w:rPr>
          <w:b/>
          <w:color w:val="0E7C7B"/>
          <w:sz w:val="18"/>
        </w:rPr>
        <w:t xml:space="preserve">IN THIS SECTION  </w:t>
      </w:r>
      <w:r>
        <w:rPr>
          <w:i/>
          <w:color w:val="1F2937"/>
          <w:sz w:val="20"/>
        </w:rPr>
        <w:t>What to try when something looks wrong.</w:t>
      </w:r>
    </w:p>
    <w:tbl>
      <w:tblPr>
        <w:tblW w:type="auto" w:w="0"/>
        <w:jc w:val="lef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3249"/>
        <w:gridCol w:w="3249"/>
        <w:gridCol w:w="3249"/>
      </w:tblGrid>
      <w:tr>
        <w:tc>
          <w:tcPr>
            <w:tcW w:type="dxa" w:w="3249"/>
            <w:shd w:val="clear" w:color="auto" w:fill="0E7C7B"/>
          </w:tcPr>
          <w:p>
            <w:pPr>
              <w:spacing w:before="40" w:after="40"/>
            </w:pPr>
            <w:r>
              <w:rPr>
                <w:b/>
                <w:color w:val="FFFFFF"/>
                <w:sz w:val="20"/>
              </w:rPr>
              <w:t>Symptom</w:t>
            </w:r>
          </w:p>
        </w:tc>
        <w:tc>
          <w:tcPr>
            <w:tcW w:type="dxa" w:w="3249"/>
            <w:shd w:val="clear" w:color="auto" w:fill="0E7C7B"/>
          </w:tcPr>
          <w:p>
            <w:pPr>
              <w:spacing w:before="40" w:after="40"/>
            </w:pPr>
            <w:r>
              <w:rPr>
                <w:b/>
                <w:color w:val="FFFFFF"/>
                <w:sz w:val="20"/>
              </w:rPr>
              <w:t>Likely cause</w:t>
            </w:r>
          </w:p>
        </w:tc>
        <w:tc>
          <w:tcPr>
            <w:tcW w:type="dxa" w:w="3249"/>
            <w:shd w:val="clear" w:color="auto" w:fill="0E7C7B"/>
          </w:tcPr>
          <w:p>
            <w:pPr>
              <w:spacing w:before="40" w:after="40"/>
            </w:pPr>
            <w:r>
              <w:rPr>
                <w:b/>
                <w:color w:val="FFFFFF"/>
                <w:sz w:val="20"/>
              </w:rPr>
              <w:t>What to try</w:t>
            </w:r>
          </w:p>
        </w:tc>
      </w:tr>
      <w:tr>
        <w:tc>
          <w:tcPr>
            <w:tcW w:type="dxa" w:w="3249"/>
          </w:tcPr>
          <w:p>
            <w:pPr>
              <w:spacing w:before="40" w:after="40"/>
            </w:pPr>
            <w:r>
              <w:rPr>
                <w:color w:val="374151"/>
                <w:sz w:val="19"/>
              </w:rPr>
              <w:t>A facility isn't receiving EPV emails.</w:t>
            </w:r>
          </w:p>
        </w:tc>
        <w:tc>
          <w:tcPr>
            <w:tcW w:type="dxa" w:w="3249"/>
          </w:tcPr>
          <w:p>
            <w:pPr>
              <w:spacing w:before="40" w:after="40"/>
            </w:pPr>
            <w:r>
              <w:rPr>
                <w:color w:val="374151"/>
                <w:sz w:val="19"/>
              </w:rPr>
              <w:t>The four facility addresses are wrong or bouncing.</w:t>
            </w:r>
          </w:p>
        </w:tc>
        <w:tc>
          <w:tcPr>
            <w:tcW w:type="dxa" w:w="3249"/>
          </w:tcPr>
          <w:p>
            <w:pPr>
              <w:spacing w:before="40" w:after="40"/>
            </w:pPr>
            <w:r>
              <w:rPr>
                <w:color w:val="374151"/>
                <w:sz w:val="19"/>
              </w:rPr>
              <w:t>Company Overview → Company Details → confirm every email. Check EmailSendLog for delivery status.</w:t>
            </w:r>
          </w:p>
        </w:tc>
      </w:tr>
      <w:tr>
        <w:tc>
          <w:tcPr>
            <w:tcW w:type="dxa" w:w="3249"/>
            <w:shd w:val="clear" w:color="auto" w:fill="F3F4F6"/>
          </w:tcPr>
          <w:p>
            <w:pPr>
              <w:spacing w:before="40" w:after="40"/>
            </w:pPr>
            <w:r>
              <w:rPr>
                <w:color w:val="374151"/>
                <w:sz w:val="19"/>
              </w:rPr>
              <w:t>A facility says they can't submit for last month.</w:t>
            </w:r>
          </w:p>
        </w:tc>
        <w:tc>
          <w:tcPr>
            <w:tcW w:type="dxa" w:w="3249"/>
            <w:shd w:val="clear" w:color="auto" w:fill="F3F4F6"/>
          </w:tcPr>
          <w:p>
            <w:pPr>
              <w:spacing w:before="40" w:after="40"/>
            </w:pPr>
            <w:r>
              <w:rPr>
                <w:color w:val="374151"/>
                <w:sz w:val="19"/>
              </w:rPr>
              <w:t>The current-month lockout blocks the CURRENT month, not last month.</w:t>
            </w:r>
          </w:p>
        </w:tc>
        <w:tc>
          <w:tcPr>
            <w:tcW w:type="dxa" w:w="3249"/>
            <w:shd w:val="clear" w:color="auto" w:fill="F3F4F6"/>
          </w:tcPr>
          <w:p>
            <w:pPr>
              <w:spacing w:before="40" w:after="40"/>
            </w:pPr>
            <w:r>
              <w:rPr>
                <w:color w:val="374151"/>
                <w:sz w:val="19"/>
              </w:rPr>
              <w:t>Confirm the period the facility is trying to submit. If it is genuinely last month, they should be able to submit.</w:t>
            </w:r>
          </w:p>
        </w:tc>
      </w:tr>
      <w:tr>
        <w:tc>
          <w:tcPr>
            <w:tcW w:type="dxa" w:w="3249"/>
          </w:tcPr>
          <w:p>
            <w:pPr>
              <w:spacing w:before="40" w:after="40"/>
            </w:pPr>
            <w:r>
              <w:rPr>
                <w:color w:val="374151"/>
                <w:sz w:val="19"/>
              </w:rPr>
              <w:t>Verified badge missing though they've accepted the invite.</w:t>
            </w:r>
          </w:p>
        </w:tc>
        <w:tc>
          <w:tcPr>
            <w:tcW w:type="dxa" w:w="3249"/>
          </w:tcPr>
          <w:p>
            <w:pPr>
              <w:spacing w:before="40" w:after="40"/>
            </w:pPr>
            <w:r>
              <w:rPr>
                <w:color w:val="374151"/>
                <w:sz w:val="19"/>
              </w:rPr>
              <w:t>They created the account but didn't finish the wizard.</w:t>
            </w:r>
          </w:p>
        </w:tc>
        <w:tc>
          <w:tcPr>
            <w:tcW w:type="dxa" w:w="3249"/>
          </w:tcPr>
          <w:p>
            <w:pPr>
              <w:spacing w:before="40" w:after="40"/>
            </w:pPr>
            <w:r>
              <w:rPr>
                <w:color w:val="374151"/>
                <w:sz w:val="19"/>
              </w:rPr>
              <w:t>Ask them to log back in and complete the onboarding steps. Or check Invitations directly.</w:t>
            </w:r>
          </w:p>
        </w:tc>
      </w:tr>
      <w:tr>
        <w:tc>
          <w:tcPr>
            <w:tcW w:type="dxa" w:w="3249"/>
            <w:shd w:val="clear" w:color="auto" w:fill="F3F4F6"/>
          </w:tcPr>
          <w:p>
            <w:pPr>
              <w:spacing w:before="40" w:after="40"/>
            </w:pPr>
            <w:r>
              <w:rPr>
                <w:color w:val="374151"/>
                <w:sz w:val="19"/>
              </w:rPr>
              <w:t>Duplicate EPV attempts.</w:t>
            </w:r>
          </w:p>
        </w:tc>
        <w:tc>
          <w:tcPr>
            <w:tcW w:type="dxa" w:w="3249"/>
            <w:shd w:val="clear" w:color="auto" w:fill="F3F4F6"/>
          </w:tcPr>
          <w:p>
            <w:pPr>
              <w:spacing w:before="40" w:after="40"/>
            </w:pPr>
            <w:r>
              <w:rPr>
                <w:color w:val="374151"/>
                <w:sz w:val="19"/>
              </w:rPr>
              <w:t>Someone clicked Send EPV twice in quick succession.</w:t>
            </w:r>
          </w:p>
        </w:tc>
        <w:tc>
          <w:tcPr>
            <w:tcW w:type="dxa" w:w="3249"/>
            <w:shd w:val="clear" w:color="auto" w:fill="F3F4F6"/>
          </w:tcPr>
          <w:p>
            <w:pPr>
              <w:spacing w:before="40" w:after="40"/>
            </w:pPr>
            <w:r>
              <w:rPr>
                <w:color w:val="374151"/>
                <w:sz w:val="19"/>
              </w:rPr>
              <w:t>The system rejects the duplicate. Check the EPV list — only one row should exist per period.</w:t>
            </w:r>
          </w:p>
        </w:tc>
      </w:tr>
    </w:tbl>
    <w:p/>
    <w:p>
      <w:r>
        <w:br w:type="page"/>
      </w:r>
    </w:p>
    <w:p>
      <w:pPr>
        <w:pStyle w:val="Heading1"/>
      </w:pPr>
      <w:r>
        <w:t>Getting help</w:t>
      </w:r>
    </w:p>
    <w:p>
      <w:pPr>
        <w:pBdr>
          <w:left w:val="single" w:sz="24" w:space="8" w:color="0E7C7B"/>
        </w:pBdr>
        <w:ind w:left="170"/>
      </w:pPr>
      <w:r>
        <w:rPr>
          <w:b/>
          <w:color w:val="0E7C7B"/>
          <w:sz w:val="18"/>
        </w:rPr>
        <w:t xml:space="preserve">IN THIS SECTION  </w:t>
      </w:r>
      <w:r>
        <w:rPr>
          <w:i/>
          <w:color w:val="1F2937"/>
          <w:sz w:val="20"/>
        </w:rPr>
        <w:t>Where to reach out when something isn't working, and where to look for answers on your own.</w:t>
      </w:r>
    </w:p>
    <w:p>
      <w:pPr>
        <w:pStyle w:val="Heading2"/>
      </w:pPr>
      <w:r>
        <w:t>Inside EPVS</w:t>
      </w:r>
    </w:p>
    <w:p>
      <w:r>
        <w:rPr>
          <w:color w:val="374151"/>
          <w:sz w:val="21"/>
        </w:rPr>
        <w:t>Every page has a Support link in the top ribbon and a floating help button in the bottom-right corner. Click either to raise a ticket. Support tickets are triaged by category (Access, EPV Submission, Payment, Dashboard, Company &amp; Facility, or General) and priority (Low, Medium, High, Urgent).</w:t>
      </w:r>
    </w:p>
    <w:p>
      <w:r>
        <w:rPr>
          <w:color w:val="374151"/>
          <w:sz w:val="21"/>
        </w:rPr>
        <w:t>You will get email updates as your ticket moves through Open → In Progress → Resolved. Follow-up comments can be added on the ticket at any time.</w:t>
      </w:r>
    </w:p>
    <w:p>
      <w:pPr>
        <w:pStyle w:val="Heading2"/>
      </w:pPr>
      <w:r>
        <w:t>The User Manual button</w:t>
      </w:r>
    </w:p>
    <w:p>
      <w:r>
        <w:rPr>
          <w:color w:val="374151"/>
          <w:sz w:val="21"/>
        </w:rPr>
        <w:t>The "User Manual" button in the top ribbon downloads this guide as a PDF at any time. Useful for offline reading, printing, or forwarding to a colleague.</w:t>
      </w:r>
    </w:p>
    <w:p>
      <w:pPr>
        <w:pStyle w:val="Heading1"/>
      </w:pPr>
      <w:r>
        <w:t>Glossary</w:t>
      </w:r>
    </w:p>
    <w:p>
      <w:pPr>
        <w:pBdr>
          <w:left w:val="single" w:sz="24" w:space="8" w:color="0E7C7B"/>
        </w:pBdr>
        <w:ind w:left="170"/>
      </w:pPr>
      <w:r>
        <w:rPr>
          <w:b/>
          <w:color w:val="0E7C7B"/>
          <w:sz w:val="18"/>
        </w:rPr>
        <w:t xml:space="preserve">IN THIS SECTION  </w:t>
      </w:r>
      <w:r>
        <w:rPr>
          <w:i/>
          <w:color w:val="1F2937"/>
          <w:sz w:val="20"/>
        </w:rPr>
        <w:t>The vocabulary this manual uses.</w:t>
      </w:r>
    </w:p>
    <w:tbl>
      <w:tblPr>
        <w:tblW w:type="auto" w:w="0"/>
        <w:jc w:val="lef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873"/>
        <w:gridCol w:w="4873"/>
      </w:tblGrid>
      <w:tr>
        <w:tc>
          <w:tcPr>
            <w:tcW w:type="dxa" w:w="4873"/>
            <w:shd w:val="clear" w:color="auto" w:fill="0E7C7B"/>
          </w:tcPr>
          <w:p>
            <w:pPr>
              <w:spacing w:before="40" w:after="40"/>
            </w:pPr>
            <w:r>
              <w:rPr>
                <w:b/>
                <w:color w:val="FFFFFF"/>
                <w:sz w:val="20"/>
              </w:rPr>
              <w:t>Term</w:t>
            </w:r>
          </w:p>
        </w:tc>
        <w:tc>
          <w:tcPr>
            <w:tcW w:type="dxa" w:w="4873"/>
            <w:shd w:val="clear" w:color="auto" w:fill="0E7C7B"/>
          </w:tcPr>
          <w:p>
            <w:pPr>
              <w:spacing w:before="40" w:after="40"/>
            </w:pPr>
            <w:r>
              <w:rPr>
                <w:b/>
                <w:color w:val="FFFFFF"/>
                <w:sz w:val="20"/>
              </w:rPr>
              <w:t>Meaning</w:t>
            </w:r>
          </w:p>
        </w:tc>
      </w:tr>
      <w:tr>
        <w:tc>
          <w:tcPr>
            <w:tcW w:type="dxa" w:w="4873"/>
          </w:tcPr>
          <w:p>
            <w:pPr>
              <w:spacing w:before="40" w:after="40"/>
            </w:pPr>
            <w:r>
              <w:rPr>
                <w:color w:val="374151"/>
                <w:sz w:val="19"/>
              </w:rPr>
              <w:t>EPV</w:t>
            </w:r>
          </w:p>
        </w:tc>
        <w:tc>
          <w:tcPr>
            <w:tcW w:type="dxa" w:w="4873"/>
          </w:tcPr>
          <w:p>
            <w:pPr>
              <w:spacing w:before="40" w:after="40"/>
            </w:pPr>
            <w:r>
              <w:rPr>
                <w:color w:val="374151"/>
                <w:sz w:val="19"/>
              </w:rPr>
              <w:t>Egg Production Verification — the monthly declaration each facility submits.</w:t>
            </w:r>
          </w:p>
        </w:tc>
      </w:tr>
      <w:tr>
        <w:tc>
          <w:tcPr>
            <w:tcW w:type="dxa" w:w="4873"/>
            <w:shd w:val="clear" w:color="auto" w:fill="F3F4F6"/>
          </w:tcPr>
          <w:p>
            <w:pPr>
              <w:spacing w:before="40" w:after="40"/>
            </w:pPr>
            <w:r>
              <w:rPr>
                <w:color w:val="374151"/>
                <w:sz w:val="19"/>
              </w:rPr>
              <w:t>Levy</w:t>
            </w:r>
          </w:p>
        </w:tc>
        <w:tc>
          <w:tcPr>
            <w:tcW w:type="dxa" w:w="4873"/>
            <w:shd w:val="clear" w:color="auto" w:fill="F3F4F6"/>
          </w:tcPr>
          <w:p>
            <w:pPr>
              <w:spacing w:before="40" w:after="40"/>
            </w:pPr>
            <w:r>
              <w:rPr>
                <w:color w:val="374151"/>
                <w:sz w:val="19"/>
              </w:rPr>
              <w:t>Statutory levy owed on eggs, pulp, and powder sold to trade.</w:t>
            </w:r>
          </w:p>
        </w:tc>
      </w:tr>
      <w:tr>
        <w:tc>
          <w:tcPr>
            <w:tcW w:type="dxa" w:w="4873"/>
          </w:tcPr>
          <w:p>
            <w:pPr>
              <w:spacing w:before="40" w:after="40"/>
            </w:pPr>
            <w:r>
              <w:rPr>
                <w:color w:val="374151"/>
                <w:sz w:val="19"/>
              </w:rPr>
              <w:t>Facility</w:t>
            </w:r>
          </w:p>
        </w:tc>
        <w:tc>
          <w:tcPr>
            <w:tcW w:type="dxa" w:w="4873"/>
          </w:tcPr>
          <w:p>
            <w:pPr>
              <w:spacing w:before="40" w:after="40"/>
            </w:pPr>
            <w:r>
              <w:rPr>
                <w:color w:val="374151"/>
                <w:sz w:val="19"/>
              </w:rPr>
              <w:t>A registered producer, packer, or breaking-plant on the system.</w:t>
            </w:r>
          </w:p>
        </w:tc>
      </w:tr>
      <w:tr>
        <w:tc>
          <w:tcPr>
            <w:tcW w:type="dxa" w:w="4873"/>
            <w:shd w:val="clear" w:color="auto" w:fill="F3F4F6"/>
          </w:tcPr>
          <w:p>
            <w:pPr>
              <w:spacing w:before="40" w:after="40"/>
            </w:pPr>
            <w:r>
              <w:rPr>
                <w:color w:val="374151"/>
                <w:sz w:val="19"/>
              </w:rPr>
              <w:t>ALS</w:t>
            </w:r>
          </w:p>
        </w:tc>
        <w:tc>
          <w:tcPr>
            <w:tcW w:type="dxa" w:w="4873"/>
            <w:shd w:val="clear" w:color="auto" w:fill="F3F4F6"/>
          </w:tcPr>
          <w:p>
            <w:pPr>
              <w:spacing w:before="40" w:after="40"/>
            </w:pPr>
            <w:r>
              <w:rPr>
                <w:color w:val="374151"/>
                <w:sz w:val="19"/>
              </w:rPr>
              <w:t>The 3rd-party levy collector (previously called "Super" in older releases).</w:t>
            </w:r>
          </w:p>
        </w:tc>
      </w:tr>
      <w:tr>
        <w:tc>
          <w:tcPr>
            <w:tcW w:type="dxa" w:w="4873"/>
          </w:tcPr>
          <w:p>
            <w:pPr>
              <w:spacing w:before="40" w:after="40"/>
            </w:pPr>
            <w:r>
              <w:rPr>
                <w:color w:val="374151"/>
                <w:sz w:val="19"/>
              </w:rPr>
              <w:t>Inspector</w:t>
            </w:r>
          </w:p>
        </w:tc>
        <w:tc>
          <w:tcPr>
            <w:tcW w:type="dxa" w:w="4873"/>
          </w:tcPr>
          <w:p>
            <w:pPr>
              <w:spacing w:before="40" w:after="40"/>
            </w:pPr>
            <w:r>
              <w:rPr>
                <w:color w:val="374151"/>
                <w:sz w:val="19"/>
              </w:rPr>
              <w:t>ALS Food Safety Agency staff who verify facility EPVs.</w:t>
            </w:r>
          </w:p>
        </w:tc>
      </w:tr>
      <w:tr>
        <w:tc>
          <w:tcPr>
            <w:tcW w:type="dxa" w:w="4873"/>
            <w:shd w:val="clear" w:color="auto" w:fill="F3F4F6"/>
          </w:tcPr>
          <w:p>
            <w:pPr>
              <w:spacing w:before="40" w:after="40"/>
            </w:pPr>
            <w:r>
              <w:rPr>
                <w:color w:val="374151"/>
                <w:sz w:val="19"/>
              </w:rPr>
              <w:t>Reconciled</w:t>
            </w:r>
          </w:p>
        </w:tc>
        <w:tc>
          <w:tcPr>
            <w:tcW w:type="dxa" w:w="4873"/>
            <w:shd w:val="clear" w:color="auto" w:fill="F3F4F6"/>
          </w:tcPr>
          <w:p>
            <w:pPr>
              <w:spacing w:before="40" w:after="40"/>
            </w:pPr>
            <w:r>
              <w:rPr>
                <w:color w:val="374151"/>
                <w:sz w:val="19"/>
              </w:rPr>
              <w:t>A payment has been received and matched to an EPV.</w:t>
            </w:r>
          </w:p>
        </w:tc>
      </w:tr>
      <w:tr>
        <w:tc>
          <w:tcPr>
            <w:tcW w:type="dxa" w:w="4873"/>
          </w:tcPr>
          <w:p>
            <w:pPr>
              <w:spacing w:before="40" w:after="40"/>
            </w:pPr>
            <w:r>
              <w:rPr>
                <w:color w:val="374151"/>
                <w:sz w:val="19"/>
              </w:rPr>
              <w:t>POP</w:t>
            </w:r>
          </w:p>
        </w:tc>
        <w:tc>
          <w:tcPr>
            <w:tcW w:type="dxa" w:w="4873"/>
          </w:tcPr>
          <w:p>
            <w:pPr>
              <w:spacing w:before="40" w:after="40"/>
            </w:pPr>
            <w:r>
              <w:rPr>
                <w:color w:val="374151"/>
                <w:sz w:val="19"/>
              </w:rPr>
              <w:t>Proof of Payment — the bank confirmation the facility uploads after paying.</w:t>
            </w:r>
          </w:p>
        </w:tc>
      </w:tr>
      <w:tr>
        <w:tc>
          <w:tcPr>
            <w:tcW w:type="dxa" w:w="4873"/>
            <w:shd w:val="clear" w:color="auto" w:fill="F3F4F6"/>
          </w:tcPr>
          <w:p>
            <w:pPr>
              <w:spacing w:before="40" w:after="40"/>
            </w:pPr>
            <w:r>
              <w:rPr>
                <w:color w:val="374151"/>
                <w:sz w:val="19"/>
              </w:rPr>
              <w:t>On EPV Cycle</w:t>
            </w:r>
          </w:p>
        </w:tc>
        <w:tc>
          <w:tcPr>
            <w:tcW w:type="dxa" w:w="4873"/>
            <w:shd w:val="clear" w:color="auto" w:fill="F3F4F6"/>
          </w:tcPr>
          <w:p>
            <w:pPr>
              <w:spacing w:before="40" w:after="40"/>
            </w:pPr>
            <w:r>
              <w:rPr>
                <w:color w:val="374151"/>
                <w:sz w:val="19"/>
              </w:rPr>
              <w:t>A facility that receives the monthly EPV email automatically.</w:t>
            </w:r>
          </w:p>
        </w:tc>
      </w:tr>
      <w:tr>
        <w:tc>
          <w:tcPr>
            <w:tcW w:type="dxa" w:w="4873"/>
          </w:tcPr>
          <w:p>
            <w:pPr>
              <w:spacing w:before="40" w:after="40"/>
            </w:pPr>
            <w:r>
              <w:rPr>
                <w:color w:val="374151"/>
                <w:sz w:val="19"/>
              </w:rPr>
              <w:t>Verified (badge)</w:t>
            </w:r>
          </w:p>
        </w:tc>
        <w:tc>
          <w:tcPr>
            <w:tcW w:type="dxa" w:w="4873"/>
          </w:tcPr>
          <w:p>
            <w:pPr>
              <w:spacing w:before="40" w:after="40"/>
            </w:pPr>
            <w:r>
              <w:rPr>
                <w:color w:val="374151"/>
                <w:sz w:val="19"/>
              </w:rPr>
              <w:t>A facility whose Company Admin has completed the onboarding wizard.</w:t>
            </w:r>
          </w:p>
        </w:tc>
      </w:tr>
    </w:tbl>
    <w:p/>
    <w:p>
      <w:r>
        <w:br w:type="page"/>
      </w:r>
    </w:p>
    <w:p>
      <w:pPr>
        <w:pStyle w:val="Heading1"/>
      </w:pPr>
      <w:r>
        <w:t>How the levy is calculated</w:t>
      </w:r>
    </w:p>
    <w:p>
      <w:pPr>
        <w:pBdr>
          <w:left w:val="single" w:sz="24" w:space="8" w:color="0E7C7B"/>
        </w:pBdr>
        <w:ind w:left="170"/>
      </w:pPr>
      <w:r>
        <w:rPr>
          <w:b/>
          <w:color w:val="0E7C7B"/>
          <w:sz w:val="18"/>
        </w:rPr>
        <w:t xml:space="preserve">IN THIS SECTION  </w:t>
      </w:r>
      <w:r>
        <w:rPr>
          <w:i/>
          <w:color w:val="1F2937"/>
          <w:sz w:val="20"/>
        </w:rPr>
        <w:t>The maths behind every invoice. Trade sales are what count. All amounts exclude VAT.</w:t>
      </w:r>
    </w:p>
    <w:p>
      <w:pPr>
        <w:shd w:val="clear" w:color="auto" w:fill="FEE2E2"/>
        <w:spacing w:before="120" w:after="120"/>
        <w:ind w:left="170" w:right="170"/>
      </w:pPr>
      <w:r>
        <w:rPr>
          <w:b/>
          <w:color w:val="DC2626"/>
          <w:sz w:val="18"/>
        </w:rPr>
        <w:t xml:space="preserve">EXCL. VAT  </w:t>
      </w:r>
      <w:r>
        <w:rPr>
          <w:color w:val="1F2937"/>
          <w:sz w:val="20"/>
        </w:rPr>
        <w:t>ALL Rand amounts anywhere in EPVS are stored and displayed EXCLUSIVE of VAT. The statutory levy is calculated on the pre-VAT sales-to-trade quantities. VAT is added separately by ALS on the invoice they send you.</w:t>
      </w:r>
    </w:p>
    <w:tbl>
      <w:tblPr>
        <w:tblW w:type="auto" w:w="0"/>
        <w:jc w:val="lef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436"/>
        <w:gridCol w:w="2436"/>
        <w:gridCol w:w="2436"/>
        <w:gridCol w:w="2436"/>
      </w:tblGrid>
      <w:tr>
        <w:tc>
          <w:tcPr>
            <w:tcW w:type="dxa" w:w="2436"/>
            <w:shd w:val="clear" w:color="auto" w:fill="0E7C7B"/>
          </w:tcPr>
          <w:p>
            <w:pPr>
              <w:spacing w:before="40" w:after="40"/>
            </w:pPr>
            <w:r>
              <w:rPr>
                <w:b/>
                <w:color w:val="FFFFFF"/>
                <w:sz w:val="20"/>
              </w:rPr>
              <w:t>Product</w:t>
            </w:r>
          </w:p>
        </w:tc>
        <w:tc>
          <w:tcPr>
            <w:tcW w:type="dxa" w:w="2436"/>
            <w:shd w:val="clear" w:color="auto" w:fill="0E7C7B"/>
          </w:tcPr>
          <w:p>
            <w:pPr>
              <w:spacing w:before="40" w:after="40"/>
            </w:pPr>
            <w:r>
              <w:rPr>
                <w:b/>
                <w:color w:val="FFFFFF"/>
                <w:sz w:val="20"/>
              </w:rPr>
              <w:t>Basis</w:t>
            </w:r>
          </w:p>
        </w:tc>
        <w:tc>
          <w:tcPr>
            <w:tcW w:type="dxa" w:w="2436"/>
            <w:shd w:val="clear" w:color="auto" w:fill="0E7C7B"/>
          </w:tcPr>
          <w:p>
            <w:pPr>
              <w:spacing w:before="40" w:after="40"/>
            </w:pPr>
            <w:r>
              <w:rPr>
                <w:b/>
                <w:color w:val="FFFFFF"/>
                <w:sz w:val="20"/>
              </w:rPr>
              <w:t>Rate (excl VAT)</w:t>
            </w:r>
          </w:p>
        </w:tc>
        <w:tc>
          <w:tcPr>
            <w:tcW w:type="dxa" w:w="2436"/>
            <w:shd w:val="clear" w:color="auto" w:fill="0E7C7B"/>
          </w:tcPr>
          <w:p>
            <w:pPr>
              <w:spacing w:before="40" w:after="40"/>
            </w:pPr>
            <w:r>
              <w:rPr>
                <w:b/>
                <w:color w:val="FFFFFF"/>
                <w:sz w:val="20"/>
              </w:rPr>
              <w:t>Formula</w:t>
            </w:r>
          </w:p>
        </w:tc>
      </w:tr>
      <w:tr>
        <w:tc>
          <w:tcPr>
            <w:tcW w:type="dxa" w:w="2436"/>
          </w:tcPr>
          <w:p>
            <w:pPr>
              <w:spacing w:before="40" w:after="40"/>
            </w:pPr>
            <w:r>
              <w:rPr>
                <w:color w:val="374151"/>
                <w:sz w:val="19"/>
              </w:rPr>
              <w:t>Eggs</w:t>
            </w:r>
          </w:p>
        </w:tc>
        <w:tc>
          <w:tcPr>
            <w:tcW w:type="dxa" w:w="2436"/>
          </w:tcPr>
          <w:p>
            <w:pPr>
              <w:spacing w:before="40" w:after="40"/>
            </w:pPr>
            <w:r>
              <w:rPr>
                <w:color w:val="374151"/>
                <w:sz w:val="19"/>
              </w:rPr>
              <w:t>Dozens sold to trade</w:t>
            </w:r>
          </w:p>
        </w:tc>
        <w:tc>
          <w:tcPr>
            <w:tcW w:type="dxa" w:w="2436"/>
          </w:tcPr>
          <w:p>
            <w:pPr>
              <w:spacing w:before="40" w:after="40"/>
            </w:pPr>
            <w:r>
              <w:rPr>
                <w:color w:val="374151"/>
                <w:sz w:val="19"/>
              </w:rPr>
              <w:t>R 0.020 / dozen</w:t>
            </w:r>
          </w:p>
        </w:tc>
        <w:tc>
          <w:tcPr>
            <w:tcW w:type="dxa" w:w="2436"/>
          </w:tcPr>
          <w:p>
            <w:pPr>
              <w:spacing w:before="40" w:after="40"/>
            </w:pPr>
            <w:r>
              <w:rPr>
                <w:color w:val="374151"/>
                <w:sz w:val="19"/>
              </w:rPr>
              <w:t>SoldToTrade × 0.020</w:t>
            </w:r>
          </w:p>
        </w:tc>
      </w:tr>
      <w:tr>
        <w:tc>
          <w:tcPr>
            <w:tcW w:type="dxa" w:w="2436"/>
            <w:shd w:val="clear" w:color="auto" w:fill="F3F4F6"/>
          </w:tcPr>
          <w:p>
            <w:pPr>
              <w:spacing w:before="40" w:after="40"/>
            </w:pPr>
            <w:r>
              <w:rPr>
                <w:color w:val="374151"/>
                <w:sz w:val="19"/>
              </w:rPr>
              <w:t>Pulp</w:t>
            </w:r>
          </w:p>
        </w:tc>
        <w:tc>
          <w:tcPr>
            <w:tcW w:type="dxa" w:w="2436"/>
            <w:shd w:val="clear" w:color="auto" w:fill="F3F4F6"/>
          </w:tcPr>
          <w:p>
            <w:pPr>
              <w:spacing w:before="40" w:after="40"/>
            </w:pPr>
            <w:r>
              <w:rPr>
                <w:color w:val="374151"/>
                <w:sz w:val="19"/>
              </w:rPr>
              <w:t>kg sold to trade → dozens at 1.7</w:t>
            </w:r>
          </w:p>
        </w:tc>
        <w:tc>
          <w:tcPr>
            <w:tcW w:type="dxa" w:w="2436"/>
            <w:shd w:val="clear" w:color="auto" w:fill="F3F4F6"/>
          </w:tcPr>
          <w:p>
            <w:pPr>
              <w:spacing w:before="40" w:after="40"/>
            </w:pPr>
            <w:r>
              <w:rPr>
                <w:color w:val="374151"/>
                <w:sz w:val="19"/>
              </w:rPr>
              <w:t>R 0.020 / dozen (R 0.034 / kg)</w:t>
            </w:r>
          </w:p>
        </w:tc>
        <w:tc>
          <w:tcPr>
            <w:tcW w:type="dxa" w:w="2436"/>
            <w:shd w:val="clear" w:color="auto" w:fill="F3F4F6"/>
          </w:tcPr>
          <w:p>
            <w:pPr>
              <w:spacing w:before="40" w:after="40"/>
            </w:pPr>
            <w:r>
              <w:rPr>
                <w:color w:val="374151"/>
                <w:sz w:val="19"/>
              </w:rPr>
              <w:t>PulpSoldToTrade × 1.7 × 0.020</w:t>
            </w:r>
          </w:p>
        </w:tc>
      </w:tr>
      <w:tr>
        <w:tc>
          <w:tcPr>
            <w:tcW w:type="dxa" w:w="2436"/>
          </w:tcPr>
          <w:p>
            <w:pPr>
              <w:spacing w:before="40" w:after="40"/>
            </w:pPr>
            <w:r>
              <w:rPr>
                <w:color w:val="374151"/>
                <w:sz w:val="19"/>
              </w:rPr>
              <w:t>Powder</w:t>
            </w:r>
          </w:p>
        </w:tc>
        <w:tc>
          <w:tcPr>
            <w:tcW w:type="dxa" w:w="2436"/>
          </w:tcPr>
          <w:p>
            <w:pPr>
              <w:spacing w:before="40" w:after="40"/>
            </w:pPr>
            <w:r>
              <w:rPr>
                <w:color w:val="374151"/>
                <w:sz w:val="19"/>
              </w:rPr>
              <w:t>kg sold to trade</w:t>
            </w:r>
          </w:p>
        </w:tc>
        <w:tc>
          <w:tcPr>
            <w:tcW w:type="dxa" w:w="2436"/>
          </w:tcPr>
          <w:p>
            <w:pPr>
              <w:spacing w:before="40" w:after="40"/>
            </w:pPr>
            <w:r>
              <w:rPr>
                <w:color w:val="374151"/>
                <w:sz w:val="19"/>
              </w:rPr>
              <w:t>R 0.020 / kg</w:t>
            </w:r>
          </w:p>
        </w:tc>
        <w:tc>
          <w:tcPr>
            <w:tcW w:type="dxa" w:w="2436"/>
          </w:tcPr>
          <w:p>
            <w:pPr>
              <w:spacing w:before="40" w:after="40"/>
            </w:pPr>
            <w:r>
              <w:rPr>
                <w:color w:val="374151"/>
                <w:sz w:val="19"/>
              </w:rPr>
              <w:t>PowderSoldToTrade × 0.020</w:t>
            </w:r>
          </w:p>
        </w:tc>
      </w:tr>
    </w:tbl>
    <w:p/>
    <w:p>
      <w:r>
        <w:rPr>
          <w:color w:val="374151"/>
          <w:sz w:val="21"/>
        </w:rPr>
        <w:t>These fields are recorded so your closing stock balances, but they DO NOT contribute to the levy: sales to staff, sales through a farm stall, transfers to other producers, pulp / powder sold to other producers, market returns, machine loss, sent-to-pulp, destroyed, exported, and conversion loss.</w:t>
      </w: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color w:val="6B7280"/>
        <w:sz w:val="18"/>
      </w:rPr>
      <w:t>Super Administrator Manual   |   EPVS · ALS Food Safety Agency</w:t>
    </w:r>
    <w:r>
      <w:tab/>
      <w:tab/>
    </w:r>
    <w:r>
      <w:rPr>
        <w:color w:val="6B7280"/>
        <w:sz w:val="18"/>
      </w:rPr>
      <w:fldChar w:fldCharType="begin"/>
      <w:instrText xml:space="preserve">PAGE</w:instrText>
      <w:fldChar w:fldCharType="end"/>
    </w:r>
    <w:r>
      <w:rPr>
        <w:color w:val="6B7280"/>
        <w:sz w:val="18"/>
      </w:rPr>
      <w:t xml:space="preserve"> of </w:t>
    </w:r>
    <w:r>
      <w:rPr>
        <w:color w:val="6B7280"/>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E7C7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A5C5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b/>
      <w:color w:val="0E7C7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egoe UI" w:hAnsi="Segoe UI"/>
      <w:b w:val="0"/>
      <w:i/>
      <w:iCs/>
      <w:color w:val="6B728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