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27BD3" w14:textId="77777777" w:rsidR="00CC646C" w:rsidRPr="00651A5A" w:rsidRDefault="00CC646C" w:rsidP="00CC646C">
      <w:pPr>
        <w:pStyle w:val="Header"/>
        <w:tabs>
          <w:tab w:val="clear" w:pos="4320"/>
          <w:tab w:val="clear" w:pos="8640"/>
        </w:tabs>
        <w:jc w:val="center"/>
        <w:rPr>
          <w:rFonts w:ascii="Cambria" w:hAnsi="Cambria" w:cs="Tahoma"/>
          <w:b/>
          <w:i/>
          <w:sz w:val="36"/>
          <w:szCs w:val="36"/>
        </w:rPr>
      </w:pPr>
    </w:p>
    <w:p w14:paraId="47E51283" w14:textId="77777777" w:rsidR="00CC646C" w:rsidRPr="00651A5A" w:rsidRDefault="00CC646C" w:rsidP="00CC646C">
      <w:pPr>
        <w:pStyle w:val="Header"/>
        <w:tabs>
          <w:tab w:val="clear" w:pos="4320"/>
          <w:tab w:val="clear" w:pos="8640"/>
        </w:tabs>
        <w:jc w:val="center"/>
        <w:rPr>
          <w:rFonts w:ascii="Cambria" w:hAnsi="Cambria" w:cs="Tahoma"/>
          <w:b/>
          <w:i/>
          <w:sz w:val="36"/>
          <w:szCs w:val="36"/>
        </w:rPr>
      </w:pPr>
    </w:p>
    <w:p w14:paraId="3A0402A8" w14:textId="77777777" w:rsidR="00CC646C" w:rsidRPr="00651A5A" w:rsidRDefault="00CC646C" w:rsidP="00CC646C">
      <w:pPr>
        <w:pStyle w:val="Header"/>
        <w:tabs>
          <w:tab w:val="clear" w:pos="4320"/>
          <w:tab w:val="clear" w:pos="8640"/>
        </w:tabs>
        <w:jc w:val="center"/>
        <w:rPr>
          <w:rFonts w:ascii="Cambria" w:hAnsi="Cambria" w:cs="Tahoma"/>
          <w:b/>
          <w:i/>
          <w:sz w:val="36"/>
          <w:szCs w:val="36"/>
        </w:rPr>
      </w:pPr>
    </w:p>
    <w:p w14:paraId="46E6C36B" w14:textId="77777777" w:rsidR="00CC646C" w:rsidRPr="00651A5A" w:rsidRDefault="00CC646C" w:rsidP="00CC646C">
      <w:pPr>
        <w:pStyle w:val="Header"/>
        <w:tabs>
          <w:tab w:val="clear" w:pos="4320"/>
          <w:tab w:val="clear" w:pos="8640"/>
        </w:tabs>
        <w:jc w:val="center"/>
        <w:rPr>
          <w:rFonts w:ascii="Cambria" w:hAnsi="Cambria" w:cs="Tahoma"/>
          <w:b/>
          <w:i/>
          <w:sz w:val="36"/>
          <w:szCs w:val="36"/>
        </w:rPr>
      </w:pPr>
    </w:p>
    <w:p w14:paraId="1DE3B84A" w14:textId="4913C87D" w:rsidR="00CC646C" w:rsidRPr="00D6703E" w:rsidRDefault="00C03D83" w:rsidP="00CC646C">
      <w:pPr>
        <w:pStyle w:val="Header"/>
        <w:tabs>
          <w:tab w:val="clear" w:pos="4320"/>
          <w:tab w:val="clear" w:pos="8640"/>
        </w:tabs>
        <w:jc w:val="center"/>
        <w:rPr>
          <w:rFonts w:ascii="Bahnschrift" w:hAnsi="Bahnschrift" w:cs="Tahoma"/>
          <w:b/>
          <w:sz w:val="72"/>
          <w:szCs w:val="72"/>
        </w:rPr>
      </w:pPr>
      <w:r>
        <w:rPr>
          <w:rFonts w:ascii="Bahnschrift" w:hAnsi="Bahnschrift" w:cs="Tahoma"/>
          <w:b/>
          <w:noProof/>
          <w:sz w:val="72"/>
          <w:szCs w:val="72"/>
        </w:rPr>
        <w:drawing>
          <wp:inline distT="0" distB="0" distL="0" distR="0" wp14:anchorId="5C83CE19" wp14:editId="1C6D1C82">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a:stretch>
                      <a:fillRect/>
                    </a:stretch>
                  </pic:blipFill>
                  <pic:spPr>
                    <a:xfrm>
                      <a:off x="0" y="0"/>
                      <a:ext cx="1517904" cy="1559095"/>
                    </a:xfrm>
                    <a:prstGeom prst="rect">
                      <a:avLst/>
                    </a:prstGeom>
                  </pic:spPr>
                </pic:pic>
              </a:graphicData>
            </a:graphic>
          </wp:inline>
        </w:drawing>
      </w:r>
    </w:p>
    <w:p w14:paraId="4421AF3F" w14:textId="77777777" w:rsidR="00CC646C" w:rsidRPr="00D17425" w:rsidRDefault="00CC646C" w:rsidP="00CC646C">
      <w:pPr>
        <w:pStyle w:val="Header"/>
        <w:tabs>
          <w:tab w:val="clear" w:pos="4320"/>
          <w:tab w:val="clear" w:pos="8640"/>
        </w:tabs>
        <w:jc w:val="center"/>
        <w:rPr>
          <w:rFonts w:ascii="Cambria" w:hAnsi="Cambria" w:cs="Tahoma"/>
          <w:b/>
          <w:i/>
          <w:sz w:val="36"/>
          <w:szCs w:val="36"/>
        </w:rPr>
      </w:pPr>
    </w:p>
    <w:p w14:paraId="2F0E184E" w14:textId="77777777" w:rsidR="00CC646C" w:rsidRPr="00D17425" w:rsidRDefault="00CC646C" w:rsidP="00CC646C">
      <w:pPr>
        <w:jc w:val="center"/>
        <w:rPr>
          <w:rFonts w:ascii="Cambria" w:hAnsi="Cambria" w:cs="Tahoma"/>
          <w:b/>
          <w:bCs/>
          <w:i/>
          <w:sz w:val="36"/>
          <w:szCs w:val="36"/>
        </w:rPr>
      </w:pPr>
    </w:p>
    <w:p w14:paraId="4AC72A46" w14:textId="77777777" w:rsidR="00CC646C" w:rsidRPr="00D17425" w:rsidRDefault="00CC646C" w:rsidP="00CC646C">
      <w:pPr>
        <w:jc w:val="center"/>
        <w:rPr>
          <w:rFonts w:ascii="Cambria" w:hAnsi="Cambria" w:cs="Tahoma"/>
          <w:b/>
          <w:bCs/>
          <w:i/>
          <w:sz w:val="36"/>
          <w:szCs w:val="36"/>
        </w:rPr>
      </w:pPr>
    </w:p>
    <w:p w14:paraId="7EF7C815" w14:textId="7F202D2F" w:rsidR="00CC646C" w:rsidRPr="00D17425" w:rsidRDefault="007C7FC5" w:rsidP="00CC646C">
      <w:pPr>
        <w:jc w:val="center"/>
        <w:rPr>
          <w:rFonts w:ascii="Cambria" w:hAnsi="Cambria" w:cs="Tahoma"/>
          <w:b/>
          <w:bCs/>
          <w:i/>
          <w:sz w:val="36"/>
          <w:szCs w:val="36"/>
        </w:rPr>
      </w:pPr>
      <w:r w:rsidRPr="007C7FC5">
        <w:rPr>
          <w:rFonts w:ascii="Cambria" w:hAnsi="Cambria" w:cs="Arial"/>
          <w:b/>
          <w:i/>
          <w:sz w:val="52"/>
          <w:szCs w:val="52"/>
        </w:rPr>
        <w:t>Design Assessment, Valve Component Modification, ClearTract Catheter</w:t>
      </w:r>
    </w:p>
    <w:p w14:paraId="02C3BDCD" w14:textId="77777777" w:rsidR="00CC646C" w:rsidRPr="00D17425" w:rsidRDefault="00CC646C" w:rsidP="00CC646C">
      <w:pPr>
        <w:jc w:val="center"/>
        <w:rPr>
          <w:rFonts w:ascii="Cambria" w:hAnsi="Cambria" w:cs="Tahoma"/>
          <w:b/>
          <w:bCs/>
          <w:i/>
          <w:sz w:val="36"/>
          <w:szCs w:val="36"/>
        </w:rPr>
      </w:pPr>
    </w:p>
    <w:p w14:paraId="2A5511CE" w14:textId="6F6A5AF7" w:rsidR="00CC646C" w:rsidRDefault="00CC646C" w:rsidP="00CC646C">
      <w:pPr>
        <w:jc w:val="center"/>
        <w:rPr>
          <w:rFonts w:ascii="Cambria" w:hAnsi="Cambria" w:cs="Tahoma"/>
          <w:b/>
          <w:bCs/>
          <w:i/>
          <w:sz w:val="36"/>
          <w:szCs w:val="36"/>
        </w:rPr>
      </w:pPr>
    </w:p>
    <w:p w14:paraId="5E30993C" w14:textId="77777777" w:rsidR="00C03D83" w:rsidRDefault="00C03D83" w:rsidP="00CC646C">
      <w:pPr>
        <w:jc w:val="center"/>
        <w:rPr>
          <w:rFonts w:ascii="Cambria" w:hAnsi="Cambria" w:cs="Tahoma"/>
          <w:b/>
          <w:bCs/>
          <w:i/>
          <w:sz w:val="36"/>
          <w:szCs w:val="36"/>
        </w:rPr>
      </w:pPr>
    </w:p>
    <w:p w14:paraId="1C98C563" w14:textId="77777777" w:rsidR="00CC646C" w:rsidRDefault="00CC646C" w:rsidP="00CC646C">
      <w:pPr>
        <w:jc w:val="center"/>
        <w:rPr>
          <w:rFonts w:ascii="Cambria" w:hAnsi="Cambria" w:cs="Tahoma"/>
          <w:b/>
          <w:bCs/>
          <w:i/>
          <w:sz w:val="36"/>
          <w:szCs w:val="36"/>
        </w:rPr>
      </w:pPr>
    </w:p>
    <w:p w14:paraId="2BD91E43" w14:textId="77777777" w:rsidR="00CC646C" w:rsidRPr="00D17425" w:rsidRDefault="00CC646C" w:rsidP="00CC646C">
      <w:pPr>
        <w:jc w:val="center"/>
        <w:rPr>
          <w:rFonts w:ascii="Cambria" w:hAnsi="Cambria" w:cs="Tahoma"/>
          <w:b/>
          <w:bCs/>
          <w:i/>
          <w:sz w:val="36"/>
          <w:szCs w:val="36"/>
        </w:rPr>
      </w:pPr>
    </w:p>
    <w:p w14:paraId="436ACC21" w14:textId="77777777" w:rsidR="000D29B6" w:rsidRPr="002E2339" w:rsidRDefault="000D29B6" w:rsidP="000D29B6">
      <w:pPr>
        <w:jc w:val="center"/>
        <w:rPr>
          <w:rFonts w:ascii="Cambria" w:hAnsi="Cambria" w:cs="Arial"/>
          <w:bCs/>
          <w:i/>
          <w:sz w:val="48"/>
          <w:szCs w:val="48"/>
        </w:rPr>
      </w:pPr>
      <w:r w:rsidRPr="002E2339">
        <w:rPr>
          <w:rFonts w:ascii="Cambria" w:hAnsi="Cambria" w:cs="Arial"/>
          <w:bCs/>
          <w:i/>
          <w:sz w:val="48"/>
          <w:szCs w:val="48"/>
        </w:rPr>
        <w:t>Design Input / Output (I/O) Matrix</w:t>
      </w:r>
    </w:p>
    <w:p w14:paraId="7325D504" w14:textId="77777777" w:rsidR="000D29B6" w:rsidRPr="0004504B" w:rsidRDefault="000D29B6" w:rsidP="000D29B6">
      <w:pPr>
        <w:jc w:val="center"/>
        <w:rPr>
          <w:rFonts w:ascii="Cambria" w:hAnsi="Cambria" w:cs="Arial"/>
          <w:bCs/>
          <w:sz w:val="24"/>
          <w:szCs w:val="24"/>
        </w:rPr>
      </w:pPr>
    </w:p>
    <w:p w14:paraId="0D6A0227" w14:textId="77777777" w:rsidR="000D29B6" w:rsidRPr="0004504B" w:rsidRDefault="000D29B6" w:rsidP="000D29B6">
      <w:pPr>
        <w:rPr>
          <w:rFonts w:ascii="Cambria" w:hAnsi="Cambria" w:cs="Arial"/>
          <w:sz w:val="24"/>
          <w:szCs w:val="24"/>
        </w:rPr>
      </w:pPr>
    </w:p>
    <w:p w14:paraId="36E143D9" w14:textId="77777777" w:rsidR="000D29B6" w:rsidRPr="000C2AED" w:rsidRDefault="000D29B6" w:rsidP="00BD18E0">
      <w:pPr>
        <w:pStyle w:val="Heading1"/>
        <w:numPr>
          <w:ilvl w:val="0"/>
          <w:numId w:val="47"/>
        </w:numPr>
      </w:pPr>
      <w:r w:rsidRPr="000C2AED">
        <w:br w:type="page"/>
      </w:r>
      <w:r w:rsidRPr="00BD18E0">
        <w:lastRenderedPageBreak/>
        <w:t>Purpose</w:t>
      </w:r>
    </w:p>
    <w:p w14:paraId="7AF49FB7" w14:textId="363382AB" w:rsidR="000D29B6" w:rsidRPr="00194259" w:rsidRDefault="0075574A" w:rsidP="00BD18E0">
      <w:pPr>
        <w:pStyle w:val="Heading2"/>
        <w:rPr>
          <w:iCs/>
        </w:rPr>
      </w:pPr>
      <w:r w:rsidRPr="0075574A">
        <w:t xml:space="preserve">The purpose of this document is to provide traceability between the affected design inputs, design outputs, and design verification activities for </w:t>
      </w:r>
      <w:proofErr w:type="gramStart"/>
      <w:r w:rsidRPr="0075574A">
        <w:t>DC.SLQ</w:t>
      </w:r>
      <w:proofErr w:type="gramEnd"/>
      <w:r w:rsidRPr="0075574A">
        <w:t>001</w:t>
      </w:r>
      <w:r>
        <w:t>,</w:t>
      </w:r>
      <w:r w:rsidRPr="0075574A">
        <w:t xml:space="preserve"> a retrospective design assessment of a supplier-initiated valve geometry modification to the check valve assembly (Item No. 5 per device drawing) of the SILQ ClearTract Catheter product family.</w:t>
      </w:r>
      <w:r w:rsidRPr="0075574A">
        <w:t xml:space="preserve"> </w:t>
      </w:r>
    </w:p>
    <w:p w14:paraId="1C2C9A4C" w14:textId="4E49D52E" w:rsidR="00194259" w:rsidRPr="0004504B" w:rsidRDefault="00194259" w:rsidP="00BD18E0">
      <w:pPr>
        <w:pStyle w:val="Heading2"/>
        <w:rPr>
          <w:iCs/>
        </w:rPr>
      </w:pPr>
      <w:r w:rsidRPr="00194259">
        <w:rPr>
          <w:iCs/>
        </w:rPr>
        <w:t xml:space="preserve">This I/O matrix traces each affected design input to its corresponding design output and to the verification evidence demonstrating that the design output meets the design input. This document is prepared per </w:t>
      </w:r>
      <w:proofErr w:type="gramStart"/>
      <w:r w:rsidRPr="00194259">
        <w:rPr>
          <w:iCs/>
        </w:rPr>
        <w:t>QM.SLQ</w:t>
      </w:r>
      <w:proofErr w:type="gramEnd"/>
      <w:r w:rsidRPr="00194259">
        <w:rPr>
          <w:iCs/>
        </w:rPr>
        <w:t xml:space="preserve">007 A (Design Output SOP) Section 7.7 and </w:t>
      </w:r>
      <w:proofErr w:type="gramStart"/>
      <w:r w:rsidRPr="00194259">
        <w:rPr>
          <w:iCs/>
        </w:rPr>
        <w:t>QM.SLQ</w:t>
      </w:r>
      <w:proofErr w:type="gramEnd"/>
      <w:r w:rsidRPr="00194259">
        <w:rPr>
          <w:iCs/>
        </w:rPr>
        <w:t>006 A (Design Input SOP) Section 8.</w:t>
      </w:r>
    </w:p>
    <w:p w14:paraId="15A01F0D" w14:textId="77777777" w:rsidR="000D29B6" w:rsidRPr="0004504B" w:rsidRDefault="000D29B6" w:rsidP="00BD18E0">
      <w:pPr>
        <w:pStyle w:val="Heading1"/>
      </w:pPr>
      <w:r w:rsidRPr="00BD18E0">
        <w:t>Scope</w:t>
      </w:r>
    </w:p>
    <w:p w14:paraId="3AD3FB08" w14:textId="29AAFAFC" w:rsidR="000D29B6" w:rsidRPr="0004504B" w:rsidRDefault="00194259" w:rsidP="00BD18E0">
      <w:pPr>
        <w:pStyle w:val="Heading2"/>
      </w:pPr>
      <w:r w:rsidRPr="00194259">
        <w:t>The scope of this document is limited to the design inputs, design outputs, and verification activities affected by the valve geometry modification to the check valve assembly of the SILQ ClearTract Catheter</w:t>
      </w:r>
      <w:r w:rsidR="00A12C9D">
        <w:t xml:space="preserve">. </w:t>
      </w:r>
      <w:r w:rsidR="00A12C9D" w:rsidRPr="00A12C9D">
        <w:t>This is a retrospective design assessment of a minor dimensional refinement to a single non-patient-contacting component. No changes were made to materials, valve type, functional mechanism, intended use, or performance claims. The modification improves valve seating consistency and reduces dislodgement probability.</w:t>
      </w:r>
      <w:r w:rsidR="00A12C9D">
        <w:t xml:space="preserve"> </w:t>
      </w:r>
      <w:r w:rsidR="00A12C9D" w:rsidRPr="00A12C9D">
        <w:t>This matrix does not replicate the full device-level design I/O traceability for the ClearTract Catheter product family. Only the design inputs directly affected by the valve geometry change, and the design outputs and verification evidence corresponding to those inputs, are included.</w:t>
      </w:r>
    </w:p>
    <w:p w14:paraId="71523C6B" w14:textId="77777777" w:rsidR="000D29B6" w:rsidRPr="0004504B" w:rsidRDefault="000D29B6" w:rsidP="00BD18E0">
      <w:pPr>
        <w:pStyle w:val="Heading1"/>
      </w:pPr>
      <w:r w:rsidRPr="00BD18E0">
        <w:t>Documents</w:t>
      </w:r>
    </w:p>
    <w:p w14:paraId="7AE4BEE4" w14:textId="77777777" w:rsidR="000D29B6" w:rsidRPr="0004504B" w:rsidRDefault="000D29B6" w:rsidP="00BD18E0">
      <w:pPr>
        <w:pStyle w:val="Heading2"/>
      </w:pPr>
      <w:r w:rsidRPr="0004504B">
        <w:t xml:space="preserve">Reference </w:t>
      </w:r>
      <w:r w:rsidRPr="00BD18E0">
        <w:t>Documents</w:t>
      </w:r>
    </w:p>
    <w:p w14:paraId="0A923F06" w14:textId="77777777" w:rsidR="00A7185B" w:rsidRPr="001D39F8" w:rsidRDefault="00A7185B" w:rsidP="00A7185B">
      <w:pPr>
        <w:pStyle w:val="Heading3"/>
      </w:pPr>
      <w:proofErr w:type="gramStart"/>
      <w:r w:rsidRPr="001D39F8">
        <w:t>QM.</w:t>
      </w:r>
      <w:r>
        <w:t>SLQ</w:t>
      </w:r>
      <w:proofErr w:type="gramEnd"/>
      <w:r w:rsidRPr="001D39F8">
        <w:t>0</w:t>
      </w:r>
      <w:r>
        <w:t>06</w:t>
      </w:r>
      <w:r w:rsidRPr="001D39F8">
        <w:tab/>
      </w:r>
      <w:r>
        <w:t>Design Input SOP</w:t>
      </w:r>
    </w:p>
    <w:p w14:paraId="27887204" w14:textId="77777777" w:rsidR="00A7185B" w:rsidRDefault="00A7185B" w:rsidP="00A7185B">
      <w:pPr>
        <w:pStyle w:val="Heading3"/>
      </w:pPr>
      <w:proofErr w:type="gramStart"/>
      <w:r w:rsidRPr="001D39F8">
        <w:t>QM.</w:t>
      </w:r>
      <w:r>
        <w:t>SLQ</w:t>
      </w:r>
      <w:proofErr w:type="gramEnd"/>
      <w:r w:rsidRPr="001D39F8">
        <w:t>00</w:t>
      </w:r>
      <w:r>
        <w:t>7</w:t>
      </w:r>
      <w:r w:rsidRPr="001D39F8">
        <w:tab/>
      </w:r>
      <w:r>
        <w:t>Design Output SOP</w:t>
      </w:r>
    </w:p>
    <w:p w14:paraId="388ADD11" w14:textId="77777777" w:rsidR="00A7185B" w:rsidRPr="001D39F8" w:rsidRDefault="00A7185B" w:rsidP="00A7185B">
      <w:pPr>
        <w:pStyle w:val="Heading3"/>
      </w:pPr>
      <w:proofErr w:type="gramStart"/>
      <w:r w:rsidRPr="001D39F8">
        <w:t>QM.</w:t>
      </w:r>
      <w:r>
        <w:t>SLQ</w:t>
      </w:r>
      <w:proofErr w:type="gramEnd"/>
      <w:r w:rsidRPr="001D39F8">
        <w:t>00</w:t>
      </w:r>
      <w:r>
        <w:t>8</w:t>
      </w:r>
      <w:r w:rsidRPr="001D39F8">
        <w:tab/>
      </w:r>
      <w:r>
        <w:t>Design Review SOP</w:t>
      </w:r>
    </w:p>
    <w:p w14:paraId="424FB84E" w14:textId="77777777" w:rsidR="00A7185B" w:rsidRPr="001D39F8" w:rsidRDefault="00A7185B" w:rsidP="00A7185B">
      <w:pPr>
        <w:pStyle w:val="Heading3"/>
      </w:pPr>
      <w:proofErr w:type="gramStart"/>
      <w:r w:rsidRPr="001D39F8">
        <w:t>QM.</w:t>
      </w:r>
      <w:r>
        <w:t>SLQ</w:t>
      </w:r>
      <w:proofErr w:type="gramEnd"/>
      <w:r w:rsidRPr="001D39F8">
        <w:t>00</w:t>
      </w:r>
      <w:r>
        <w:t>9</w:t>
      </w:r>
      <w:r w:rsidRPr="001D39F8">
        <w:tab/>
      </w:r>
      <w:r w:rsidRPr="00E3774A">
        <w:t>Design Verification and Validation SOP</w:t>
      </w:r>
    </w:p>
    <w:p w14:paraId="2F60F846" w14:textId="77777777" w:rsidR="00A7185B" w:rsidRDefault="00A7185B" w:rsidP="00A7185B">
      <w:pPr>
        <w:pStyle w:val="Heading3"/>
      </w:pPr>
      <w:proofErr w:type="gramStart"/>
      <w:r w:rsidRPr="001D39F8">
        <w:t>QM.</w:t>
      </w:r>
      <w:r>
        <w:t>SLQ</w:t>
      </w:r>
      <w:proofErr w:type="gramEnd"/>
      <w:r w:rsidRPr="004E64C1">
        <w:t>0</w:t>
      </w:r>
      <w:r>
        <w:t>1</w:t>
      </w:r>
      <w:r w:rsidRPr="004E64C1">
        <w:t>2</w:t>
      </w:r>
      <w:r w:rsidRPr="001D39F8">
        <w:tab/>
      </w:r>
      <w:r w:rsidRPr="00334C6E">
        <w:t>Risk Management SOP</w:t>
      </w:r>
      <w:r w:rsidRPr="0004504B">
        <w:t xml:space="preserve"> </w:t>
      </w:r>
    </w:p>
    <w:p w14:paraId="5D0EB245" w14:textId="77777777" w:rsidR="00A7185B" w:rsidRDefault="00A7185B" w:rsidP="00A7185B">
      <w:pPr>
        <w:pStyle w:val="Heading3"/>
      </w:pPr>
      <w:r>
        <w:t>DC.SLQ001</w:t>
      </w:r>
      <w:r>
        <w:tab/>
        <w:t>A Design Project Plan</w:t>
      </w:r>
    </w:p>
    <w:p w14:paraId="780015D0" w14:textId="77777777" w:rsidR="00A7185B" w:rsidRDefault="00A7185B" w:rsidP="00A7185B">
      <w:pPr>
        <w:pStyle w:val="Heading3"/>
      </w:pPr>
      <w:r>
        <w:t>FM1-</w:t>
      </w:r>
      <w:proofErr w:type="gramStart"/>
      <w:r>
        <w:t>QM.SLQ</w:t>
      </w:r>
      <w:proofErr w:type="gramEnd"/>
      <w:r>
        <w:t xml:space="preserve">004 A Design Project Scope Form </w:t>
      </w:r>
      <w:proofErr w:type="gramStart"/>
      <w:r>
        <w:t>DC.SLQ</w:t>
      </w:r>
      <w:proofErr w:type="gramEnd"/>
      <w:r>
        <w:t>001</w:t>
      </w:r>
    </w:p>
    <w:p w14:paraId="1BBFF4F7" w14:textId="77777777" w:rsidR="00A7185B" w:rsidRDefault="00A7185B" w:rsidP="00A7185B">
      <w:pPr>
        <w:pStyle w:val="Heading3"/>
      </w:pPr>
      <w:r>
        <w:t>CAPA 001-2025</w:t>
      </w:r>
    </w:p>
    <w:p w14:paraId="347C31EE" w14:textId="652E3ABA" w:rsidR="000D29B6" w:rsidRPr="0004504B" w:rsidRDefault="00A7185B" w:rsidP="00A7185B">
      <w:pPr>
        <w:pStyle w:val="Heading3"/>
      </w:pPr>
      <w:r>
        <w:t>CAPA 003-2025</w:t>
      </w:r>
    </w:p>
    <w:p w14:paraId="1B94501B" w14:textId="77777777" w:rsidR="000D29B6" w:rsidRPr="0004504B" w:rsidRDefault="000D29B6" w:rsidP="00BD18E0">
      <w:pPr>
        <w:pStyle w:val="Heading2"/>
      </w:pPr>
      <w:r w:rsidRPr="0004504B">
        <w:lastRenderedPageBreak/>
        <w:t>Appendices / Associated Forms</w:t>
      </w:r>
    </w:p>
    <w:p w14:paraId="0F819AF9" w14:textId="77777777" w:rsidR="00131233" w:rsidRDefault="00131233" w:rsidP="00131233">
      <w:pPr>
        <w:pStyle w:val="Heading3"/>
      </w:pPr>
      <w:r>
        <w:t>SLQ-6000 Rev B -- Catheter, 14 Fr x 10 mL, Silicone, NY Foley, 2-Way</w:t>
      </w:r>
    </w:p>
    <w:p w14:paraId="7A22FCF9" w14:textId="77777777" w:rsidR="00131233" w:rsidRDefault="00131233" w:rsidP="00131233">
      <w:pPr>
        <w:pStyle w:val="Heading3"/>
      </w:pPr>
      <w:r>
        <w:t>SLQ-6002 Rev B -- Catheter, 18 Fr x 10 mL, Silicone, NY Foley, 2-Way</w:t>
      </w:r>
    </w:p>
    <w:p w14:paraId="2B4FD757" w14:textId="77777777" w:rsidR="00131233" w:rsidRDefault="00131233" w:rsidP="00131233">
      <w:pPr>
        <w:pStyle w:val="Heading3"/>
      </w:pPr>
      <w:r>
        <w:t>SLQ-6004 Rev B -- Catheter, 16 Fr x 10 mL, Silicone, NY Foley, 2-Way</w:t>
      </w:r>
    </w:p>
    <w:p w14:paraId="3104FA40" w14:textId="77777777" w:rsidR="00131233" w:rsidRDefault="00131233" w:rsidP="00131233">
      <w:pPr>
        <w:pStyle w:val="Heading3"/>
      </w:pPr>
      <w:r>
        <w:t>NCR-25-079 (Pathway MedTech NCR, 100% inspection of Lots SLQ-11202024 and SLQ-05012025)</w:t>
      </w:r>
    </w:p>
    <w:p w14:paraId="27013454" w14:textId="77777777" w:rsidR="00131233" w:rsidRDefault="00131233" w:rsidP="00131233">
      <w:pPr>
        <w:pStyle w:val="Heading3"/>
      </w:pPr>
      <w:r>
        <w:t>CHR-SLQ-6002 Rev A, LN 20250324, QTY 5500 (Receiving inspection record)</w:t>
      </w:r>
    </w:p>
    <w:p w14:paraId="23D1CAB7" w14:textId="475A919E" w:rsidR="00131233" w:rsidRPr="00BD18E0" w:rsidRDefault="00131233" w:rsidP="00131233">
      <w:pPr>
        <w:pStyle w:val="Heading3"/>
      </w:pPr>
      <w:r>
        <w:t xml:space="preserve">Risk Management Review Confirmation Memo -- </w:t>
      </w:r>
      <w:proofErr w:type="gramStart"/>
      <w:r>
        <w:t>DC.SLQ</w:t>
      </w:r>
      <w:proofErr w:type="gramEnd"/>
      <w:r>
        <w:t>001</w:t>
      </w:r>
    </w:p>
    <w:p w14:paraId="425A9D15" w14:textId="748285DB" w:rsidR="000D29B6" w:rsidRPr="0004504B" w:rsidRDefault="00131233" w:rsidP="00BD18E0">
      <w:pPr>
        <w:pStyle w:val="Heading1"/>
      </w:pPr>
      <w:r>
        <w:t>De</w:t>
      </w:r>
      <w:r w:rsidR="000D29B6" w:rsidRPr="00BD18E0">
        <w:t>finitions</w:t>
      </w:r>
    </w:p>
    <w:p w14:paraId="2948F6DD" w14:textId="77777777" w:rsidR="000D29B6" w:rsidRPr="0004504B" w:rsidRDefault="000D29B6" w:rsidP="00BD18E0">
      <w:pPr>
        <w:pStyle w:val="Heading2"/>
      </w:pPr>
      <w:r w:rsidRPr="0004504B">
        <w:t xml:space="preserve">Abbreviations / </w:t>
      </w:r>
      <w:r w:rsidRPr="00BD18E0">
        <w:t>Acronyms</w:t>
      </w:r>
    </w:p>
    <w:p w14:paraId="6E594738" w14:textId="77777777" w:rsidR="00FB256E" w:rsidRDefault="00FB256E" w:rsidP="00FB256E">
      <w:pPr>
        <w:pStyle w:val="Heading3"/>
      </w:pPr>
      <w:r>
        <w:t>CHR: Component History Record (receiving inspection record)</w:t>
      </w:r>
    </w:p>
    <w:p w14:paraId="720E1492" w14:textId="77777777" w:rsidR="00FB256E" w:rsidRDefault="00FB256E" w:rsidP="00FB256E">
      <w:pPr>
        <w:pStyle w:val="Heading3"/>
      </w:pPr>
      <w:r>
        <w:t>CAPA: Corrective Action / Preventive Action</w:t>
      </w:r>
    </w:p>
    <w:p w14:paraId="21380E2A" w14:textId="77777777" w:rsidR="00FB256E" w:rsidRDefault="00FB256E" w:rsidP="00FB256E">
      <w:pPr>
        <w:pStyle w:val="Heading3"/>
      </w:pPr>
      <w:r>
        <w:t>DHF: Design History File</w:t>
      </w:r>
    </w:p>
    <w:p w14:paraId="7E843519" w14:textId="77777777" w:rsidR="00FB256E" w:rsidRDefault="00FB256E" w:rsidP="00FB256E">
      <w:pPr>
        <w:pStyle w:val="Heading3"/>
      </w:pPr>
      <w:r>
        <w:t>DFMEA: Design Failure Mode and Effects Analysis</w:t>
      </w:r>
    </w:p>
    <w:p w14:paraId="30F60A1A" w14:textId="77777777" w:rsidR="00FB256E" w:rsidRDefault="00FB256E" w:rsidP="00FB256E">
      <w:pPr>
        <w:pStyle w:val="Heading3"/>
      </w:pPr>
      <w:r>
        <w:t>DMR: Device Master Record</w:t>
      </w:r>
    </w:p>
    <w:p w14:paraId="69EE5166" w14:textId="77777777" w:rsidR="00FB256E" w:rsidRDefault="00FB256E" w:rsidP="00FB256E">
      <w:pPr>
        <w:pStyle w:val="Heading3"/>
      </w:pPr>
      <w:r>
        <w:t>I/O: Input / Output</w:t>
      </w:r>
    </w:p>
    <w:p w14:paraId="76B59A9B" w14:textId="77777777" w:rsidR="00FB256E" w:rsidRDefault="00FB256E" w:rsidP="00FB256E">
      <w:pPr>
        <w:pStyle w:val="Heading3"/>
      </w:pPr>
      <w:r>
        <w:t>LTF: Letter-to-File</w:t>
      </w:r>
    </w:p>
    <w:p w14:paraId="2FF9235F" w14:textId="77777777" w:rsidR="00FB256E" w:rsidRDefault="00FB256E" w:rsidP="00FB256E">
      <w:pPr>
        <w:pStyle w:val="Heading3"/>
      </w:pPr>
      <w:r>
        <w:t>NCR: Nonconformance Report</w:t>
      </w:r>
    </w:p>
    <w:p w14:paraId="6F3333A8" w14:textId="4D2122CA" w:rsidR="000D29B6" w:rsidRPr="0004504B" w:rsidRDefault="00FB256E" w:rsidP="00FB256E">
      <w:pPr>
        <w:pStyle w:val="Heading3"/>
      </w:pPr>
      <w:r>
        <w:t>V&amp;V: Verification and Validation</w:t>
      </w:r>
      <w:r w:rsidRPr="0004504B">
        <w:t xml:space="preserve"> </w:t>
      </w:r>
    </w:p>
    <w:p w14:paraId="1A5196CA" w14:textId="77777777" w:rsidR="000D29B6" w:rsidRPr="0004504B" w:rsidRDefault="000D29B6" w:rsidP="00BD18E0">
      <w:pPr>
        <w:pStyle w:val="Heading2"/>
      </w:pPr>
      <w:r w:rsidRPr="00BD18E0">
        <w:t>General</w:t>
      </w:r>
      <w:r w:rsidRPr="0004504B">
        <w:t xml:space="preserve"> Definitions</w:t>
      </w:r>
    </w:p>
    <w:p w14:paraId="154C75A3" w14:textId="5743C011" w:rsidR="00FB256E" w:rsidRDefault="00FB256E" w:rsidP="00FB256E">
      <w:pPr>
        <w:pStyle w:val="Heading3"/>
      </w:pPr>
      <w:r>
        <w:t>Check Valve Assembly: A non-patient-contacting component of the ClearTract Catheter (Item No. 5 per device drawing) that prevents backflow of inflation fluid and supports balloon inflation/retention during indwelling use. Located at the proximal balloon inflation port.</w:t>
      </w:r>
    </w:p>
    <w:p w14:paraId="47128672" w14:textId="49074CCD" w:rsidR="000D29B6" w:rsidRPr="0004504B" w:rsidRDefault="00FB256E" w:rsidP="00FB256E">
      <w:pPr>
        <w:pStyle w:val="Heading3"/>
      </w:pPr>
      <w:r>
        <w:t xml:space="preserve">Valve Geometry Modification: A dimensional/geometry refinement to the check valve assembly implemented by the component supplier (Ningbo </w:t>
      </w:r>
      <w:proofErr w:type="spellStart"/>
      <w:r>
        <w:t>Yingmed</w:t>
      </w:r>
      <w:proofErr w:type="spellEnd"/>
      <w:r>
        <w:t>) to improve seating consistency and reduce dislodgement probability. No material, functional, or performance changes were made.</w:t>
      </w:r>
      <w:r w:rsidRPr="0004504B">
        <w:t xml:space="preserve"> </w:t>
      </w:r>
    </w:p>
    <w:p w14:paraId="2CBC8CB2" w14:textId="77777777" w:rsidR="000D29B6" w:rsidRPr="0004504B" w:rsidRDefault="000D29B6" w:rsidP="00BD18E0">
      <w:pPr>
        <w:pStyle w:val="Heading1"/>
      </w:pPr>
      <w:r w:rsidRPr="000C2AED">
        <w:t>Input</w:t>
      </w:r>
      <w:r w:rsidRPr="0004504B">
        <w:t xml:space="preserve"> / </w:t>
      </w:r>
      <w:r w:rsidRPr="00BD18E0">
        <w:t>Output</w:t>
      </w:r>
      <w:r w:rsidRPr="0004504B">
        <w:t xml:space="preserve"> Matrix</w:t>
      </w:r>
    </w:p>
    <w:p w14:paraId="6068D90E" w14:textId="6D452396" w:rsidR="000D29B6" w:rsidRPr="0004504B" w:rsidRDefault="007922BF" w:rsidP="007922BF">
      <w:pPr>
        <w:pStyle w:val="Heading2"/>
        <w:sectPr w:rsidR="000D29B6" w:rsidRPr="0004504B" w:rsidSect="000D29B6">
          <w:headerReference w:type="default" r:id="rId9"/>
          <w:footerReference w:type="default" r:id="rId10"/>
          <w:pgSz w:w="12240" w:h="15840" w:code="1"/>
          <w:pgMar w:top="1440" w:right="1440" w:bottom="1440" w:left="1440" w:header="720" w:footer="432" w:gutter="0"/>
          <w:cols w:space="720"/>
          <w:docGrid w:linePitch="272"/>
        </w:sectPr>
      </w:pPr>
      <w:r w:rsidRPr="007922BF">
        <w:lastRenderedPageBreak/>
        <w:t xml:space="preserve">The following I/O matrix traces only the design inputs affected by the valve geometry modification assessed under </w:t>
      </w:r>
      <w:proofErr w:type="gramStart"/>
      <w:r w:rsidRPr="007922BF">
        <w:t>DC.SLQ</w:t>
      </w:r>
      <w:proofErr w:type="gramEnd"/>
      <w:r w:rsidRPr="007922BF">
        <w:t>001. Three attributes of the check valve assembly are traced: (1) the dimensional acceptance criterion, (2) the mechanical retention requirement, and (3) balloon inflation integrity as a confirmation that the modification did not adversely affect an interfacing function. All three attributes were verified through the inspection activities documented in CAPA 001-2025 and subsequent receiving inspections.</w:t>
      </w:r>
      <w:r w:rsidRPr="007922BF">
        <w:t xml:space="preserve"> </w:t>
      </w:r>
    </w:p>
    <w:p w14:paraId="315BEB38" w14:textId="77777777" w:rsidR="000D29B6" w:rsidRPr="0004504B" w:rsidRDefault="000D29B6" w:rsidP="000D29B6">
      <w:pPr>
        <w:pStyle w:val="Heading2"/>
        <w:numPr>
          <w:ilvl w:val="0"/>
          <w:numId w:val="0"/>
        </w:numPr>
        <w:ind w:left="450"/>
      </w:pPr>
    </w:p>
    <w:p w14:paraId="2E5B83DC" w14:textId="77777777" w:rsidR="000D29B6" w:rsidRPr="00C84285" w:rsidRDefault="000D29B6" w:rsidP="00C13330">
      <w:pPr>
        <w:tabs>
          <w:tab w:val="left" w:pos="9988"/>
        </w:tabs>
        <w:ind w:left="900"/>
        <w:rPr>
          <w:rFonts w:ascii="Cambria" w:hAnsi="Cambria" w:cs="Arial"/>
          <w:b/>
          <w:sz w:val="24"/>
          <w:szCs w:val="24"/>
        </w:rPr>
      </w:pPr>
      <w:r w:rsidRPr="00C84285">
        <w:rPr>
          <w:rFonts w:ascii="Cambria" w:hAnsi="Cambria" w:cs="Arial"/>
          <w:b/>
          <w:sz w:val="24"/>
          <w:szCs w:val="24"/>
        </w:rPr>
        <w:t>Design I/O Matrix Table:</w:t>
      </w:r>
      <w:r w:rsidR="00C13330">
        <w:rPr>
          <w:rFonts w:ascii="Cambria" w:hAnsi="Cambria" w:cs="Arial"/>
          <w:b/>
          <w:sz w:val="24"/>
          <w:szCs w:val="24"/>
        </w:rPr>
        <w:tab/>
      </w:r>
    </w:p>
    <w:p w14:paraId="07DE5176" w14:textId="77777777" w:rsidR="000D29B6" w:rsidRPr="0004504B" w:rsidRDefault="000D29B6" w:rsidP="000D29B6">
      <w:pPr>
        <w:ind w:left="900"/>
        <w:rPr>
          <w:rFonts w:ascii="Cambria" w:hAnsi="Cambria" w:cs="Arial"/>
          <w:sz w:val="24"/>
          <w:szCs w:val="24"/>
        </w:rPr>
      </w:pPr>
    </w:p>
    <w:tbl>
      <w:tblPr>
        <w:tblStyle w:val="TableGrid"/>
        <w:tblW w:w="14508" w:type="dxa"/>
        <w:jc w:val="center"/>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705"/>
        <w:gridCol w:w="90"/>
        <w:gridCol w:w="1710"/>
        <w:gridCol w:w="2650"/>
        <w:gridCol w:w="2333"/>
        <w:gridCol w:w="2646"/>
        <w:gridCol w:w="1890"/>
        <w:gridCol w:w="2484"/>
      </w:tblGrid>
      <w:tr w:rsidR="000D29B6" w:rsidRPr="0004504B" w14:paraId="1B398E0F" w14:textId="77777777" w:rsidTr="00572C33">
        <w:trPr>
          <w:cantSplit/>
          <w:trHeight w:val="294"/>
          <w:tblHeader/>
          <w:jc w:val="center"/>
        </w:trPr>
        <w:tc>
          <w:tcPr>
            <w:tcW w:w="795" w:type="dxa"/>
            <w:gridSpan w:val="2"/>
            <w:vMerge w:val="restart"/>
            <w:tcBorders>
              <w:top w:val="single" w:sz="12" w:space="0" w:color="auto"/>
              <w:right w:val="single" w:sz="12" w:space="0" w:color="auto"/>
            </w:tcBorders>
            <w:shd w:val="clear" w:color="auto" w:fill="DBE5F1" w:themeFill="accent1" w:themeFillTint="33"/>
            <w:vAlign w:val="center"/>
          </w:tcPr>
          <w:p w14:paraId="76E7DABB" w14:textId="77777777" w:rsidR="000D29B6" w:rsidRPr="00363579" w:rsidRDefault="000D29B6" w:rsidP="00F349F8">
            <w:pPr>
              <w:jc w:val="center"/>
              <w:rPr>
                <w:rFonts w:ascii="Cambria" w:hAnsi="Cambria" w:cs="Arial"/>
                <w:b/>
              </w:rPr>
            </w:pPr>
            <w:r w:rsidRPr="00363579">
              <w:rPr>
                <w:rFonts w:ascii="Cambria" w:hAnsi="Cambria" w:cs="Arial"/>
                <w:b/>
              </w:rPr>
              <w:t>Item</w:t>
            </w:r>
          </w:p>
        </w:tc>
        <w:tc>
          <w:tcPr>
            <w:tcW w:w="1710" w:type="dxa"/>
            <w:vMerge w:val="restart"/>
            <w:tcBorders>
              <w:top w:val="single" w:sz="12" w:space="0" w:color="auto"/>
              <w:left w:val="single" w:sz="12" w:space="0" w:color="auto"/>
              <w:right w:val="single" w:sz="12" w:space="0" w:color="auto"/>
            </w:tcBorders>
            <w:shd w:val="clear" w:color="auto" w:fill="DBE5F1" w:themeFill="accent1" w:themeFillTint="33"/>
            <w:vAlign w:val="center"/>
          </w:tcPr>
          <w:p w14:paraId="37BF20FC" w14:textId="77777777" w:rsidR="000D29B6" w:rsidRPr="00363579" w:rsidRDefault="000D29B6" w:rsidP="00F349F8">
            <w:pPr>
              <w:jc w:val="center"/>
              <w:rPr>
                <w:rFonts w:ascii="Cambria" w:hAnsi="Cambria" w:cs="Arial"/>
                <w:b/>
              </w:rPr>
            </w:pPr>
            <w:r w:rsidRPr="00363579">
              <w:rPr>
                <w:rFonts w:ascii="Cambria" w:hAnsi="Cambria" w:cs="Arial"/>
                <w:b/>
              </w:rPr>
              <w:t>Attribute / Characteristic</w:t>
            </w:r>
          </w:p>
        </w:tc>
        <w:tc>
          <w:tcPr>
            <w:tcW w:w="2650" w:type="dxa"/>
            <w:vMerge w:val="restart"/>
            <w:tcBorders>
              <w:top w:val="single" w:sz="12" w:space="0" w:color="auto"/>
              <w:left w:val="single" w:sz="12" w:space="0" w:color="auto"/>
              <w:right w:val="single" w:sz="12" w:space="0" w:color="auto"/>
            </w:tcBorders>
            <w:shd w:val="clear" w:color="auto" w:fill="DBE5F1" w:themeFill="accent1" w:themeFillTint="33"/>
            <w:vAlign w:val="center"/>
          </w:tcPr>
          <w:p w14:paraId="3A613080" w14:textId="77777777" w:rsidR="000D29B6" w:rsidRPr="00363579" w:rsidRDefault="000D29B6" w:rsidP="00F349F8">
            <w:pPr>
              <w:jc w:val="center"/>
              <w:rPr>
                <w:rFonts w:ascii="Cambria" w:hAnsi="Cambria" w:cs="Arial"/>
                <w:b/>
              </w:rPr>
            </w:pPr>
            <w:r w:rsidRPr="00363579">
              <w:rPr>
                <w:rFonts w:ascii="Cambria" w:hAnsi="Cambria" w:cs="Arial"/>
                <w:b/>
              </w:rPr>
              <w:t>User Needs</w:t>
            </w:r>
          </w:p>
        </w:tc>
        <w:tc>
          <w:tcPr>
            <w:tcW w:w="2333" w:type="dxa"/>
            <w:vMerge w:val="restart"/>
            <w:tcBorders>
              <w:top w:val="single" w:sz="12" w:space="0" w:color="auto"/>
              <w:left w:val="single" w:sz="12" w:space="0" w:color="auto"/>
              <w:right w:val="single" w:sz="12" w:space="0" w:color="auto"/>
            </w:tcBorders>
            <w:shd w:val="clear" w:color="auto" w:fill="DBE5F1" w:themeFill="accent1" w:themeFillTint="33"/>
            <w:vAlign w:val="center"/>
          </w:tcPr>
          <w:p w14:paraId="3D8E66E2" w14:textId="77777777" w:rsidR="000D29B6" w:rsidRPr="00363579" w:rsidRDefault="000D29B6" w:rsidP="00F349F8">
            <w:pPr>
              <w:jc w:val="center"/>
              <w:rPr>
                <w:rFonts w:ascii="Cambria" w:hAnsi="Cambria" w:cs="Arial"/>
                <w:b/>
              </w:rPr>
            </w:pPr>
            <w:r w:rsidRPr="00363579">
              <w:rPr>
                <w:rFonts w:ascii="Cambria" w:hAnsi="Cambria" w:cs="Arial"/>
                <w:b/>
              </w:rPr>
              <w:t>Verifiable Product Requirement</w:t>
            </w:r>
          </w:p>
          <w:p w14:paraId="1B0DB16A" w14:textId="77777777" w:rsidR="000D29B6" w:rsidRPr="00363579" w:rsidRDefault="000D29B6" w:rsidP="00F349F8">
            <w:pPr>
              <w:jc w:val="center"/>
              <w:rPr>
                <w:rFonts w:ascii="Cambria" w:hAnsi="Cambria" w:cs="Arial"/>
                <w:b/>
              </w:rPr>
            </w:pPr>
            <w:r w:rsidRPr="00363579">
              <w:rPr>
                <w:rFonts w:ascii="Cambria" w:hAnsi="Cambria" w:cs="Arial"/>
                <w:b/>
              </w:rPr>
              <w:t>(Design Input)</w:t>
            </w:r>
          </w:p>
        </w:tc>
        <w:tc>
          <w:tcPr>
            <w:tcW w:w="7020" w:type="dxa"/>
            <w:gridSpan w:val="3"/>
            <w:tcBorders>
              <w:top w:val="single" w:sz="12" w:space="0" w:color="auto"/>
              <w:left w:val="single" w:sz="12" w:space="0" w:color="auto"/>
              <w:bottom w:val="single" w:sz="12" w:space="0" w:color="auto"/>
            </w:tcBorders>
            <w:shd w:val="clear" w:color="auto" w:fill="DBE5F1" w:themeFill="accent1" w:themeFillTint="33"/>
            <w:vAlign w:val="center"/>
          </w:tcPr>
          <w:p w14:paraId="775BE3A8" w14:textId="77777777" w:rsidR="000D29B6" w:rsidRPr="00363579" w:rsidRDefault="000D29B6" w:rsidP="00F349F8">
            <w:pPr>
              <w:jc w:val="center"/>
              <w:rPr>
                <w:rFonts w:ascii="Cambria" w:hAnsi="Cambria" w:cs="Arial"/>
                <w:b/>
              </w:rPr>
            </w:pPr>
            <w:r w:rsidRPr="00363579">
              <w:rPr>
                <w:rFonts w:ascii="Cambria" w:hAnsi="Cambria" w:cs="Arial"/>
                <w:b/>
              </w:rPr>
              <w:t>Traceability Information</w:t>
            </w:r>
          </w:p>
        </w:tc>
      </w:tr>
      <w:tr w:rsidR="000D29B6" w:rsidRPr="0004504B" w14:paraId="33007E4B" w14:textId="77777777" w:rsidTr="00317A24">
        <w:trPr>
          <w:cantSplit/>
          <w:trHeight w:hRule="exact" w:val="606"/>
          <w:tblHeader/>
          <w:jc w:val="center"/>
        </w:trPr>
        <w:tc>
          <w:tcPr>
            <w:tcW w:w="795" w:type="dxa"/>
            <w:gridSpan w:val="2"/>
            <w:vMerge/>
            <w:tcBorders>
              <w:bottom w:val="single" w:sz="12" w:space="0" w:color="auto"/>
              <w:right w:val="single" w:sz="12" w:space="0" w:color="auto"/>
            </w:tcBorders>
            <w:shd w:val="clear" w:color="auto" w:fill="DBE5F1" w:themeFill="accent1" w:themeFillTint="33"/>
            <w:vAlign w:val="center"/>
          </w:tcPr>
          <w:p w14:paraId="0A0B89D4" w14:textId="77777777" w:rsidR="000D29B6" w:rsidRPr="00363579" w:rsidRDefault="000D29B6" w:rsidP="00F349F8">
            <w:pPr>
              <w:jc w:val="center"/>
              <w:rPr>
                <w:rFonts w:ascii="Cambria" w:hAnsi="Cambria" w:cs="Arial"/>
                <w:b/>
              </w:rPr>
            </w:pPr>
          </w:p>
        </w:tc>
        <w:tc>
          <w:tcPr>
            <w:tcW w:w="1710" w:type="dxa"/>
            <w:vMerge/>
            <w:tcBorders>
              <w:left w:val="single" w:sz="12" w:space="0" w:color="auto"/>
              <w:bottom w:val="single" w:sz="12" w:space="0" w:color="auto"/>
              <w:right w:val="single" w:sz="12" w:space="0" w:color="auto"/>
            </w:tcBorders>
            <w:shd w:val="clear" w:color="auto" w:fill="DBE5F1" w:themeFill="accent1" w:themeFillTint="33"/>
            <w:vAlign w:val="center"/>
          </w:tcPr>
          <w:p w14:paraId="77B33C37" w14:textId="77777777" w:rsidR="000D29B6" w:rsidRPr="00363579" w:rsidRDefault="000D29B6" w:rsidP="00F349F8">
            <w:pPr>
              <w:jc w:val="center"/>
              <w:rPr>
                <w:rFonts w:ascii="Cambria" w:hAnsi="Cambria" w:cs="Arial"/>
                <w:b/>
              </w:rPr>
            </w:pPr>
          </w:p>
        </w:tc>
        <w:tc>
          <w:tcPr>
            <w:tcW w:w="2650" w:type="dxa"/>
            <w:vMerge/>
            <w:tcBorders>
              <w:left w:val="single" w:sz="12" w:space="0" w:color="auto"/>
              <w:bottom w:val="single" w:sz="12" w:space="0" w:color="auto"/>
              <w:right w:val="single" w:sz="12" w:space="0" w:color="auto"/>
            </w:tcBorders>
            <w:shd w:val="clear" w:color="auto" w:fill="DBE5F1" w:themeFill="accent1" w:themeFillTint="33"/>
            <w:vAlign w:val="center"/>
          </w:tcPr>
          <w:p w14:paraId="3219FEA5" w14:textId="77777777" w:rsidR="000D29B6" w:rsidRPr="00363579" w:rsidRDefault="000D29B6" w:rsidP="00F349F8">
            <w:pPr>
              <w:jc w:val="center"/>
              <w:rPr>
                <w:rFonts w:ascii="Cambria" w:hAnsi="Cambria" w:cs="Arial"/>
                <w:b/>
              </w:rPr>
            </w:pPr>
          </w:p>
        </w:tc>
        <w:tc>
          <w:tcPr>
            <w:tcW w:w="2333" w:type="dxa"/>
            <w:vMerge/>
            <w:tcBorders>
              <w:left w:val="single" w:sz="12" w:space="0" w:color="auto"/>
              <w:bottom w:val="single" w:sz="12" w:space="0" w:color="auto"/>
              <w:right w:val="single" w:sz="12" w:space="0" w:color="auto"/>
            </w:tcBorders>
            <w:shd w:val="clear" w:color="auto" w:fill="DBE5F1" w:themeFill="accent1" w:themeFillTint="33"/>
            <w:vAlign w:val="center"/>
          </w:tcPr>
          <w:p w14:paraId="2A4AD2BD" w14:textId="77777777" w:rsidR="000D29B6" w:rsidRPr="00363579" w:rsidRDefault="000D29B6" w:rsidP="00F349F8">
            <w:pPr>
              <w:jc w:val="center"/>
              <w:rPr>
                <w:rFonts w:ascii="Cambria" w:hAnsi="Cambria" w:cs="Arial"/>
                <w:b/>
              </w:rPr>
            </w:pPr>
          </w:p>
        </w:tc>
        <w:tc>
          <w:tcPr>
            <w:tcW w:w="2646" w:type="dxa"/>
            <w:tcBorders>
              <w:top w:val="single" w:sz="12" w:space="0" w:color="auto"/>
              <w:left w:val="single" w:sz="12" w:space="0" w:color="auto"/>
              <w:bottom w:val="single" w:sz="12" w:space="0" w:color="auto"/>
            </w:tcBorders>
            <w:shd w:val="clear" w:color="auto" w:fill="DBE5F1" w:themeFill="accent1" w:themeFillTint="33"/>
            <w:vAlign w:val="center"/>
          </w:tcPr>
          <w:p w14:paraId="13836B7D" w14:textId="77777777" w:rsidR="000D29B6" w:rsidRPr="00363579" w:rsidRDefault="000D29B6" w:rsidP="00F349F8">
            <w:pPr>
              <w:jc w:val="center"/>
              <w:rPr>
                <w:rFonts w:ascii="Cambria" w:hAnsi="Cambria" w:cs="Arial"/>
                <w:b/>
              </w:rPr>
            </w:pPr>
            <w:r w:rsidRPr="00363579">
              <w:rPr>
                <w:rFonts w:ascii="Cambria" w:hAnsi="Cambria" w:cs="Arial"/>
                <w:b/>
              </w:rPr>
              <w:t>Design Output</w:t>
            </w:r>
          </w:p>
        </w:tc>
        <w:tc>
          <w:tcPr>
            <w:tcW w:w="1890" w:type="dxa"/>
            <w:tcBorders>
              <w:top w:val="single" w:sz="12" w:space="0" w:color="auto"/>
              <w:left w:val="single" w:sz="12" w:space="0" w:color="auto"/>
              <w:bottom w:val="single" w:sz="12" w:space="0" w:color="auto"/>
            </w:tcBorders>
            <w:shd w:val="clear" w:color="auto" w:fill="DBE5F1" w:themeFill="accent1" w:themeFillTint="33"/>
            <w:vAlign w:val="center"/>
          </w:tcPr>
          <w:p w14:paraId="33BF512F" w14:textId="77777777" w:rsidR="000D29B6" w:rsidRPr="00363579" w:rsidRDefault="000D29B6" w:rsidP="00F349F8">
            <w:pPr>
              <w:jc w:val="center"/>
              <w:rPr>
                <w:rFonts w:ascii="Cambria" w:hAnsi="Cambria" w:cs="Arial"/>
                <w:b/>
              </w:rPr>
            </w:pPr>
            <w:r w:rsidRPr="00363579">
              <w:rPr>
                <w:rFonts w:ascii="Cambria" w:hAnsi="Cambria" w:cs="Arial"/>
                <w:b/>
              </w:rPr>
              <w:t>Verification / Validation</w:t>
            </w:r>
          </w:p>
        </w:tc>
        <w:tc>
          <w:tcPr>
            <w:tcW w:w="2484" w:type="dxa"/>
            <w:tcBorders>
              <w:top w:val="single" w:sz="12" w:space="0" w:color="auto"/>
              <w:left w:val="single" w:sz="12" w:space="0" w:color="auto"/>
              <w:bottom w:val="single" w:sz="12" w:space="0" w:color="auto"/>
            </w:tcBorders>
            <w:shd w:val="clear" w:color="auto" w:fill="DBE5F1" w:themeFill="accent1" w:themeFillTint="33"/>
            <w:vAlign w:val="center"/>
          </w:tcPr>
          <w:p w14:paraId="4D9A4972" w14:textId="77777777" w:rsidR="000D29B6" w:rsidRPr="00363579" w:rsidRDefault="000D29B6" w:rsidP="00F349F8">
            <w:pPr>
              <w:jc w:val="center"/>
              <w:rPr>
                <w:rFonts w:ascii="Cambria" w:hAnsi="Cambria" w:cs="Arial"/>
                <w:b/>
              </w:rPr>
            </w:pPr>
            <w:r w:rsidRPr="00363579">
              <w:rPr>
                <w:rFonts w:ascii="Cambria" w:hAnsi="Cambria" w:cs="Arial"/>
                <w:b/>
              </w:rPr>
              <w:t>Test Method</w:t>
            </w:r>
          </w:p>
        </w:tc>
      </w:tr>
      <w:tr w:rsidR="000D29B6" w:rsidRPr="0004504B" w14:paraId="715E3E41" w14:textId="77777777" w:rsidTr="004831A5">
        <w:trPr>
          <w:cantSplit/>
          <w:trHeight w:hRule="exact" w:val="309"/>
          <w:jc w:val="center"/>
        </w:trPr>
        <w:tc>
          <w:tcPr>
            <w:tcW w:w="14508" w:type="dxa"/>
            <w:gridSpan w:val="8"/>
            <w:tcBorders>
              <w:top w:val="single" w:sz="12" w:space="0" w:color="auto"/>
            </w:tcBorders>
            <w:shd w:val="clear" w:color="auto" w:fill="DBE5F1" w:themeFill="accent1" w:themeFillTint="33"/>
            <w:vAlign w:val="center"/>
          </w:tcPr>
          <w:p w14:paraId="34F9E1F5" w14:textId="77777777" w:rsidR="000D29B6" w:rsidRPr="00363579" w:rsidRDefault="000D29B6" w:rsidP="00F349F8">
            <w:pPr>
              <w:rPr>
                <w:rFonts w:ascii="Cambria" w:hAnsi="Cambria" w:cs="Arial"/>
                <w:b/>
              </w:rPr>
            </w:pPr>
            <w:r w:rsidRPr="00363579">
              <w:rPr>
                <w:rFonts w:ascii="Cambria" w:hAnsi="Cambria" w:cs="Arial"/>
                <w:b/>
              </w:rPr>
              <w:t>Finished Device – &lt;Insert Device Name&gt;</w:t>
            </w:r>
          </w:p>
        </w:tc>
      </w:tr>
      <w:tr w:rsidR="000D29B6" w:rsidRPr="0004504B" w14:paraId="3087FFD1" w14:textId="77777777" w:rsidTr="00317A24">
        <w:trPr>
          <w:cantSplit/>
          <w:trHeight w:val="2753"/>
          <w:jc w:val="center"/>
        </w:trPr>
        <w:tc>
          <w:tcPr>
            <w:tcW w:w="705" w:type="dxa"/>
            <w:vAlign w:val="center"/>
          </w:tcPr>
          <w:p w14:paraId="4787440A" w14:textId="77777777" w:rsidR="000D29B6" w:rsidRPr="00BD18E0" w:rsidRDefault="000D29B6" w:rsidP="00F349F8">
            <w:pPr>
              <w:rPr>
                <w:rFonts w:ascii="Cambria" w:hAnsi="Cambria" w:cs="Arial"/>
                <w:i/>
              </w:rPr>
            </w:pPr>
            <w:r w:rsidRPr="00BD18E0">
              <w:rPr>
                <w:rFonts w:ascii="Cambria" w:hAnsi="Cambria" w:cs="Arial"/>
                <w:i/>
              </w:rPr>
              <w:t>1.</w:t>
            </w:r>
          </w:p>
        </w:tc>
        <w:tc>
          <w:tcPr>
            <w:tcW w:w="1800" w:type="dxa"/>
            <w:gridSpan w:val="2"/>
            <w:vAlign w:val="center"/>
          </w:tcPr>
          <w:p w14:paraId="2B4A1A5C" w14:textId="6A78154F" w:rsidR="000D29B6" w:rsidRPr="00BD18E0" w:rsidRDefault="007922BF" w:rsidP="00F349F8">
            <w:pPr>
              <w:rPr>
                <w:rFonts w:ascii="Cambria" w:hAnsi="Cambria" w:cs="Arial"/>
                <w:i/>
              </w:rPr>
            </w:pPr>
            <w:r w:rsidRPr="007922BF">
              <w:rPr>
                <w:rFonts w:ascii="Cambria" w:hAnsi="Cambria" w:cs="Arial"/>
                <w:i/>
              </w:rPr>
              <w:t>Check valve assembly dimensional specification -- maximum length from sleeve (Item 6) to valve tip</w:t>
            </w:r>
          </w:p>
        </w:tc>
        <w:tc>
          <w:tcPr>
            <w:tcW w:w="2650" w:type="dxa"/>
            <w:vAlign w:val="center"/>
          </w:tcPr>
          <w:p w14:paraId="54E21662" w14:textId="157CB827" w:rsidR="000D29B6" w:rsidRPr="00BD18E0" w:rsidRDefault="007922BF" w:rsidP="00F349F8">
            <w:pPr>
              <w:rPr>
                <w:rFonts w:ascii="Cambria" w:hAnsi="Cambria" w:cs="Arial"/>
                <w:i/>
              </w:rPr>
            </w:pPr>
            <w:r w:rsidRPr="007922BF">
              <w:rPr>
                <w:rFonts w:ascii="Cambria" w:hAnsi="Cambria" w:cs="Arial"/>
                <w:i/>
              </w:rPr>
              <w:t>The catheter retention balloon shall inflate and deflate reliably. The check valve shall remain properly seated within the catheter neck connector throughout the intended use period to maintain balloon function.</w:t>
            </w:r>
          </w:p>
        </w:tc>
        <w:tc>
          <w:tcPr>
            <w:tcW w:w="2333" w:type="dxa"/>
            <w:vAlign w:val="center"/>
          </w:tcPr>
          <w:p w14:paraId="00819B13" w14:textId="392202B3" w:rsidR="000D29B6" w:rsidRPr="00BD18E0" w:rsidRDefault="00EB5DA1" w:rsidP="00F349F8">
            <w:pPr>
              <w:rPr>
                <w:rFonts w:ascii="Cambria" w:hAnsi="Cambria" w:cs="Arial"/>
                <w:i/>
              </w:rPr>
            </w:pPr>
            <w:r w:rsidRPr="00EB5DA1">
              <w:rPr>
                <w:rFonts w:ascii="Cambria" w:hAnsi="Cambria" w:cs="Arial"/>
                <w:i/>
              </w:rPr>
              <w:t>The total length from the sleeve (Item 6) to the end of the check valve (Item 5) shall not exceed 26 mm. (Drawing Note 5.5, applicable to all ClearTract configurations.)</w:t>
            </w:r>
          </w:p>
        </w:tc>
        <w:tc>
          <w:tcPr>
            <w:tcW w:w="2646" w:type="dxa"/>
            <w:vAlign w:val="center"/>
          </w:tcPr>
          <w:p w14:paraId="0726E9D8" w14:textId="6C5EC00A" w:rsidR="000D29B6" w:rsidRPr="00BD18E0" w:rsidRDefault="00EB5DA1" w:rsidP="00F349F8">
            <w:pPr>
              <w:autoSpaceDE w:val="0"/>
              <w:autoSpaceDN w:val="0"/>
              <w:adjustRightInd w:val="0"/>
              <w:rPr>
                <w:rFonts w:ascii="Cambria" w:hAnsi="Cambria" w:cs="Arial"/>
                <w:i/>
              </w:rPr>
            </w:pPr>
            <w:r w:rsidRPr="00EB5DA1">
              <w:rPr>
                <w:rFonts w:ascii="Cambria" w:hAnsi="Cambria" w:cs="Arial"/>
                <w:i/>
              </w:rPr>
              <w:t xml:space="preserve">SLQ-6000 Rev B, </w:t>
            </w:r>
            <w:proofErr w:type="gramStart"/>
            <w:r w:rsidRPr="00EB5DA1">
              <w:rPr>
                <w:rFonts w:ascii="Cambria" w:hAnsi="Cambria" w:cs="Arial"/>
                <w:i/>
              </w:rPr>
              <w:t>Note</w:t>
            </w:r>
            <w:proofErr w:type="gramEnd"/>
            <w:r w:rsidRPr="00EB5DA1">
              <w:rPr>
                <w:rFonts w:ascii="Cambria" w:hAnsi="Cambria" w:cs="Arial"/>
                <w:i/>
              </w:rPr>
              <w:t xml:space="preserve"> 5.5; SLQ-6002 Rev B, </w:t>
            </w:r>
            <w:proofErr w:type="gramStart"/>
            <w:r w:rsidRPr="00EB5DA1">
              <w:rPr>
                <w:rFonts w:ascii="Cambria" w:hAnsi="Cambria" w:cs="Arial"/>
                <w:i/>
              </w:rPr>
              <w:t>Note</w:t>
            </w:r>
            <w:proofErr w:type="gramEnd"/>
            <w:r w:rsidRPr="00EB5DA1">
              <w:rPr>
                <w:rFonts w:ascii="Cambria" w:hAnsi="Cambria" w:cs="Arial"/>
                <w:i/>
              </w:rPr>
              <w:t xml:space="preserve"> 5.5; SLQ-6004 Rev B, Note 5.5. (Note 5.5 was added in Rev B to formalize this acceptance criterion on the device drawing. The 26 mm maximum was an existing receiving inspection criterion prior to the modification; Rev B codified it as a drawing note.)</w:t>
            </w:r>
          </w:p>
        </w:tc>
        <w:tc>
          <w:tcPr>
            <w:tcW w:w="1890" w:type="dxa"/>
            <w:vAlign w:val="center"/>
          </w:tcPr>
          <w:p w14:paraId="7AE5B0F3" w14:textId="670B9C37" w:rsidR="000D29B6" w:rsidRPr="00BD18E0" w:rsidRDefault="00EB5DA1" w:rsidP="00F349F8">
            <w:pPr>
              <w:rPr>
                <w:rFonts w:ascii="Cambria" w:hAnsi="Cambria" w:cs="Arial"/>
                <w:i/>
              </w:rPr>
            </w:pPr>
            <w:r w:rsidRPr="00EB5DA1">
              <w:rPr>
                <w:rFonts w:ascii="Cambria" w:hAnsi="Cambria" w:cs="Arial"/>
                <w:i/>
              </w:rPr>
              <w:t xml:space="preserve">(a) NCR-25-079: </w:t>
            </w:r>
            <w:proofErr w:type="gramStart"/>
            <w:r w:rsidRPr="00EB5DA1">
              <w:rPr>
                <w:rFonts w:ascii="Cambria" w:hAnsi="Cambria" w:cs="Arial"/>
                <w:i/>
              </w:rPr>
              <w:t>100% dimensional</w:t>
            </w:r>
            <w:proofErr w:type="gramEnd"/>
            <w:r w:rsidRPr="00EB5DA1">
              <w:rPr>
                <w:rFonts w:ascii="Cambria" w:hAnsi="Cambria" w:cs="Arial"/>
                <w:i/>
              </w:rPr>
              <w:t xml:space="preserve"> inspection of existing finished goods Lot SLQ-11202024 (585 of 655 units accepted) and Lot SLQ-05012025 (870 of 912 units accepted). Nonconforming units were scrapped. (b) CHR-SLQ-6002 Rev A, LN 20250324, QTY 5500: Receiving inspection of post-modification lot at Pathway MedTech per drawing SLQ-6002 </w:t>
            </w:r>
            <w:proofErr w:type="gramStart"/>
            <w:r w:rsidRPr="00EB5DA1">
              <w:rPr>
                <w:rFonts w:ascii="Cambria" w:hAnsi="Cambria" w:cs="Arial"/>
                <w:i/>
              </w:rPr>
              <w:t>Rev A</w:t>
            </w:r>
            <w:proofErr w:type="gramEnd"/>
            <w:r w:rsidRPr="00EB5DA1">
              <w:rPr>
                <w:rFonts w:ascii="Cambria" w:hAnsi="Cambria" w:cs="Arial"/>
                <w:i/>
              </w:rPr>
              <w:t xml:space="preserve"> acceptance criteria. All 22 sample units passed dimensional inspection.</w:t>
            </w:r>
          </w:p>
        </w:tc>
        <w:tc>
          <w:tcPr>
            <w:tcW w:w="2484" w:type="dxa"/>
            <w:vAlign w:val="center"/>
          </w:tcPr>
          <w:p w14:paraId="58C2496F" w14:textId="4B8D328C" w:rsidR="000D29B6" w:rsidRPr="00BD18E0" w:rsidRDefault="00A029AC" w:rsidP="00F349F8">
            <w:pPr>
              <w:rPr>
                <w:rFonts w:ascii="Cambria" w:hAnsi="Cambria" w:cs="Arial"/>
                <w:i/>
              </w:rPr>
            </w:pPr>
            <w:r w:rsidRPr="00A029AC">
              <w:rPr>
                <w:rFonts w:ascii="Cambria" w:hAnsi="Cambria" w:cs="Arial"/>
                <w:i/>
              </w:rPr>
              <w:t xml:space="preserve">100% visual/dimensional inspection (NCR-25-079, CAPA 001-2025 containment). AQL 4.0 sampling per drawing general note 1.3 for routine receiving inspection (CHR). Dimensional measurement using calibrated </w:t>
            </w:r>
            <w:r>
              <w:rPr>
                <w:rFonts w:ascii="Cambria" w:hAnsi="Cambria" w:cs="Arial"/>
                <w:i/>
              </w:rPr>
              <w:t>ruler</w:t>
            </w:r>
          </w:p>
        </w:tc>
      </w:tr>
      <w:tr w:rsidR="00A029AC" w:rsidRPr="0004504B" w14:paraId="027C5688" w14:textId="77777777" w:rsidTr="00317A24">
        <w:trPr>
          <w:cantSplit/>
          <w:trHeight w:val="2753"/>
          <w:jc w:val="center"/>
        </w:trPr>
        <w:tc>
          <w:tcPr>
            <w:tcW w:w="705" w:type="dxa"/>
            <w:vAlign w:val="center"/>
          </w:tcPr>
          <w:p w14:paraId="0C6A34C2" w14:textId="2EDBAF5E" w:rsidR="00A029AC" w:rsidRPr="00BD18E0" w:rsidRDefault="00A029AC" w:rsidP="00F349F8">
            <w:pPr>
              <w:rPr>
                <w:rFonts w:ascii="Cambria" w:hAnsi="Cambria" w:cs="Arial"/>
                <w:i/>
              </w:rPr>
            </w:pPr>
            <w:r>
              <w:rPr>
                <w:rFonts w:ascii="Cambria" w:hAnsi="Cambria" w:cs="Arial"/>
                <w:i/>
              </w:rPr>
              <w:lastRenderedPageBreak/>
              <w:t>2</w:t>
            </w:r>
          </w:p>
        </w:tc>
        <w:tc>
          <w:tcPr>
            <w:tcW w:w="1800" w:type="dxa"/>
            <w:gridSpan w:val="2"/>
            <w:vAlign w:val="center"/>
          </w:tcPr>
          <w:p w14:paraId="6176BA49" w14:textId="509AB86D" w:rsidR="00A029AC" w:rsidRPr="007922BF" w:rsidRDefault="00A029AC" w:rsidP="00F349F8">
            <w:pPr>
              <w:rPr>
                <w:rFonts w:ascii="Cambria" w:hAnsi="Cambria" w:cs="Arial"/>
                <w:i/>
              </w:rPr>
            </w:pPr>
            <w:r w:rsidRPr="00A029AC">
              <w:rPr>
                <w:rFonts w:ascii="Cambria" w:hAnsi="Cambria" w:cs="Arial"/>
                <w:i/>
              </w:rPr>
              <w:t>Check valve mechanical retention -- valve properly secured to catheter neck connector</w:t>
            </w:r>
          </w:p>
        </w:tc>
        <w:tc>
          <w:tcPr>
            <w:tcW w:w="2650" w:type="dxa"/>
            <w:vAlign w:val="center"/>
          </w:tcPr>
          <w:p w14:paraId="22D56B1F" w14:textId="4BD2AA21" w:rsidR="00A029AC" w:rsidRPr="007922BF" w:rsidRDefault="00942DA4" w:rsidP="00F349F8">
            <w:pPr>
              <w:rPr>
                <w:rFonts w:ascii="Cambria" w:hAnsi="Cambria" w:cs="Arial"/>
                <w:i/>
              </w:rPr>
            </w:pPr>
            <w:r w:rsidRPr="00942DA4">
              <w:rPr>
                <w:rFonts w:ascii="Cambria" w:hAnsi="Cambria" w:cs="Arial"/>
                <w:i/>
              </w:rPr>
              <w:t>The catheter retention balloon shall inflate and deflate reliably. The check valve shall not dislodge from the catheter neck connector during normal handling, use, or removal.</w:t>
            </w:r>
          </w:p>
        </w:tc>
        <w:tc>
          <w:tcPr>
            <w:tcW w:w="2333" w:type="dxa"/>
            <w:vAlign w:val="center"/>
          </w:tcPr>
          <w:p w14:paraId="707B4D9D" w14:textId="6F3CB730" w:rsidR="00A029AC" w:rsidRPr="00EB5DA1" w:rsidRDefault="00942DA4" w:rsidP="00F349F8">
            <w:pPr>
              <w:rPr>
                <w:rFonts w:ascii="Cambria" w:hAnsi="Cambria" w:cs="Arial"/>
                <w:i/>
              </w:rPr>
            </w:pPr>
            <w:r w:rsidRPr="00942DA4">
              <w:rPr>
                <w:rFonts w:ascii="Cambria" w:hAnsi="Cambria" w:cs="Arial"/>
                <w:i/>
              </w:rPr>
              <w:t>The check valve (Item 5) shall be properly secured to the connector. (Drawing Note 5.5, applicable to all ClearTract configurations.</w:t>
            </w:r>
          </w:p>
        </w:tc>
        <w:tc>
          <w:tcPr>
            <w:tcW w:w="2646" w:type="dxa"/>
            <w:vAlign w:val="center"/>
          </w:tcPr>
          <w:p w14:paraId="455D7992" w14:textId="1FE81EC6" w:rsidR="00A029AC" w:rsidRPr="00EB5DA1" w:rsidRDefault="00942DA4" w:rsidP="00F349F8">
            <w:pPr>
              <w:autoSpaceDE w:val="0"/>
              <w:autoSpaceDN w:val="0"/>
              <w:adjustRightInd w:val="0"/>
              <w:rPr>
                <w:rFonts w:ascii="Cambria" w:hAnsi="Cambria" w:cs="Arial"/>
                <w:i/>
              </w:rPr>
            </w:pPr>
            <w:r w:rsidRPr="00942DA4">
              <w:rPr>
                <w:rFonts w:ascii="Cambria" w:hAnsi="Cambria" w:cs="Arial"/>
                <w:i/>
              </w:rPr>
              <w:t xml:space="preserve">SLQ-6000 Rev B, </w:t>
            </w:r>
            <w:proofErr w:type="gramStart"/>
            <w:r w:rsidRPr="00942DA4">
              <w:rPr>
                <w:rFonts w:ascii="Cambria" w:hAnsi="Cambria" w:cs="Arial"/>
                <w:i/>
              </w:rPr>
              <w:t>Note</w:t>
            </w:r>
            <w:proofErr w:type="gramEnd"/>
            <w:r w:rsidRPr="00942DA4">
              <w:rPr>
                <w:rFonts w:ascii="Cambria" w:hAnsi="Cambria" w:cs="Arial"/>
                <w:i/>
              </w:rPr>
              <w:t xml:space="preserve"> 5.5; SLQ-6002 Rev B, </w:t>
            </w:r>
            <w:proofErr w:type="gramStart"/>
            <w:r w:rsidRPr="00942DA4">
              <w:rPr>
                <w:rFonts w:ascii="Cambria" w:hAnsi="Cambria" w:cs="Arial"/>
                <w:i/>
              </w:rPr>
              <w:t>Note</w:t>
            </w:r>
            <w:proofErr w:type="gramEnd"/>
            <w:r w:rsidRPr="00942DA4">
              <w:rPr>
                <w:rFonts w:ascii="Cambria" w:hAnsi="Cambria" w:cs="Arial"/>
                <w:i/>
              </w:rPr>
              <w:t xml:space="preserve"> 5.5; SLQ-6004 Rev B, Note 5.5. (Note 5.5 was added in Rev B. The valve geometry modification was specifically intended to improve seating consistency and reduce dislodgement probability for this attribute.)</w:t>
            </w:r>
          </w:p>
        </w:tc>
        <w:tc>
          <w:tcPr>
            <w:tcW w:w="1890" w:type="dxa"/>
            <w:vAlign w:val="center"/>
          </w:tcPr>
          <w:p w14:paraId="2E0DA17E" w14:textId="49F26C5B" w:rsidR="00A029AC" w:rsidRPr="00EB5DA1" w:rsidRDefault="00942DA4" w:rsidP="00F349F8">
            <w:pPr>
              <w:rPr>
                <w:rFonts w:ascii="Cambria" w:hAnsi="Cambria" w:cs="Arial"/>
                <w:i/>
              </w:rPr>
            </w:pPr>
            <w:r w:rsidRPr="00942DA4">
              <w:rPr>
                <w:rFonts w:ascii="Cambria" w:hAnsi="Cambria" w:cs="Arial"/>
                <w:i/>
              </w:rPr>
              <w:t>(a) NCR-25-079: 100% visual inspection of existing finished goods -- visual confirmation that the check valve is properly seated and secured in each inspected unit. Units with visible dislodgement or improper seating were rejected. (b) CHR-SLQ-6002 Rev A, LN 20250324, QTY 5500: Visual inspection of post-modification lot at Pathway MedTech. All 22 sample units passed visual inspection for valve seating.</w:t>
            </w:r>
          </w:p>
        </w:tc>
        <w:tc>
          <w:tcPr>
            <w:tcW w:w="2484" w:type="dxa"/>
            <w:vAlign w:val="center"/>
          </w:tcPr>
          <w:p w14:paraId="5BF9353D" w14:textId="0BDB1108" w:rsidR="00A029AC" w:rsidRPr="00A029AC" w:rsidRDefault="00942DA4" w:rsidP="00F349F8">
            <w:pPr>
              <w:rPr>
                <w:rFonts w:ascii="Cambria" w:hAnsi="Cambria" w:cs="Arial"/>
                <w:i/>
              </w:rPr>
            </w:pPr>
            <w:r w:rsidRPr="00942DA4">
              <w:rPr>
                <w:rFonts w:ascii="Cambria" w:hAnsi="Cambria" w:cs="Arial"/>
                <w:i/>
              </w:rPr>
              <w:t>100% visual inspection (NCR-25-079, CAPA 001-2025 containment). AQL 4.0 sampling per drawing general note 1.3 for routine receiving inspection (CHR). Visual assessment per drawing Note 5.5 criteria.</w:t>
            </w:r>
          </w:p>
        </w:tc>
      </w:tr>
      <w:tr w:rsidR="008C4C84" w:rsidRPr="0004504B" w14:paraId="7AD04B1E" w14:textId="77777777" w:rsidTr="00317A24">
        <w:trPr>
          <w:cantSplit/>
          <w:trHeight w:val="2753"/>
          <w:jc w:val="center"/>
        </w:trPr>
        <w:tc>
          <w:tcPr>
            <w:tcW w:w="705" w:type="dxa"/>
            <w:vAlign w:val="center"/>
          </w:tcPr>
          <w:p w14:paraId="13A0ED15" w14:textId="23DEB077" w:rsidR="008C4C84" w:rsidRDefault="008C4C84" w:rsidP="00F349F8">
            <w:pPr>
              <w:rPr>
                <w:rFonts w:ascii="Cambria" w:hAnsi="Cambria" w:cs="Arial"/>
                <w:i/>
              </w:rPr>
            </w:pPr>
            <w:r>
              <w:rPr>
                <w:rFonts w:ascii="Cambria" w:hAnsi="Cambria" w:cs="Arial"/>
                <w:i/>
              </w:rPr>
              <w:lastRenderedPageBreak/>
              <w:t>3</w:t>
            </w:r>
          </w:p>
        </w:tc>
        <w:tc>
          <w:tcPr>
            <w:tcW w:w="1800" w:type="dxa"/>
            <w:gridSpan w:val="2"/>
            <w:vAlign w:val="center"/>
          </w:tcPr>
          <w:p w14:paraId="1FB3E97D" w14:textId="7D382354" w:rsidR="008C4C84" w:rsidRPr="00A029AC" w:rsidRDefault="008C4C84" w:rsidP="00F349F8">
            <w:pPr>
              <w:rPr>
                <w:rFonts w:ascii="Cambria" w:hAnsi="Cambria" w:cs="Arial"/>
                <w:i/>
              </w:rPr>
            </w:pPr>
            <w:r w:rsidRPr="008C4C84">
              <w:rPr>
                <w:rFonts w:ascii="Cambria" w:hAnsi="Cambria" w:cs="Arial"/>
                <w:i/>
              </w:rPr>
              <w:t>Balloon inflation integrity -- balloon free of defects affecting inflation and retention function</w:t>
            </w:r>
          </w:p>
        </w:tc>
        <w:tc>
          <w:tcPr>
            <w:tcW w:w="2650" w:type="dxa"/>
            <w:vAlign w:val="center"/>
          </w:tcPr>
          <w:p w14:paraId="5411365A" w14:textId="725AFF4A" w:rsidR="008C4C84" w:rsidRPr="00942DA4" w:rsidRDefault="008C4C84" w:rsidP="00F349F8">
            <w:pPr>
              <w:rPr>
                <w:rFonts w:ascii="Cambria" w:hAnsi="Cambria" w:cs="Arial"/>
                <w:i/>
              </w:rPr>
            </w:pPr>
            <w:r w:rsidRPr="008C4C84">
              <w:rPr>
                <w:rFonts w:ascii="Cambria" w:hAnsi="Cambria" w:cs="Arial"/>
                <w:i/>
              </w:rPr>
              <w:t>The catheter retention balloon shall inflate to the specified volume without leakage, maintain inflation during the indwelling period, and deflate completely upon syringe aspiration.</w:t>
            </w:r>
          </w:p>
        </w:tc>
        <w:tc>
          <w:tcPr>
            <w:tcW w:w="2333" w:type="dxa"/>
            <w:vAlign w:val="center"/>
          </w:tcPr>
          <w:p w14:paraId="335F01A6" w14:textId="1953406F" w:rsidR="008C4C84" w:rsidRPr="00942DA4" w:rsidRDefault="00AE68E5" w:rsidP="00F349F8">
            <w:pPr>
              <w:rPr>
                <w:rFonts w:ascii="Cambria" w:hAnsi="Cambria" w:cs="Arial"/>
                <w:i/>
              </w:rPr>
            </w:pPr>
            <w:r w:rsidRPr="00AE68E5">
              <w:rPr>
                <w:rFonts w:ascii="Cambria" w:hAnsi="Cambria" w:cs="Arial"/>
                <w:i/>
              </w:rPr>
              <w:t>The catheter shall undergo a leak test to verify the balloon is free of defects. (Drawing Note 5.4, per TM-0013 Foley Catheter Leak Test, applicable to all ClearTract configurations.)</w:t>
            </w:r>
          </w:p>
        </w:tc>
        <w:tc>
          <w:tcPr>
            <w:tcW w:w="2646" w:type="dxa"/>
            <w:vAlign w:val="center"/>
          </w:tcPr>
          <w:p w14:paraId="5ECF06CF" w14:textId="03FD4179" w:rsidR="008C4C84" w:rsidRPr="00942DA4" w:rsidRDefault="00AE68E5" w:rsidP="00F349F8">
            <w:pPr>
              <w:autoSpaceDE w:val="0"/>
              <w:autoSpaceDN w:val="0"/>
              <w:adjustRightInd w:val="0"/>
              <w:rPr>
                <w:rFonts w:ascii="Cambria" w:hAnsi="Cambria" w:cs="Arial"/>
                <w:i/>
              </w:rPr>
            </w:pPr>
            <w:r w:rsidRPr="00AE68E5">
              <w:rPr>
                <w:rFonts w:ascii="Cambria" w:hAnsi="Cambria" w:cs="Arial"/>
                <w:i/>
              </w:rPr>
              <w:t xml:space="preserve">SLQ-6000 Rev B, </w:t>
            </w:r>
            <w:proofErr w:type="gramStart"/>
            <w:r w:rsidRPr="00AE68E5">
              <w:rPr>
                <w:rFonts w:ascii="Cambria" w:hAnsi="Cambria" w:cs="Arial"/>
                <w:i/>
              </w:rPr>
              <w:t>Note</w:t>
            </w:r>
            <w:proofErr w:type="gramEnd"/>
            <w:r w:rsidRPr="00AE68E5">
              <w:rPr>
                <w:rFonts w:ascii="Cambria" w:hAnsi="Cambria" w:cs="Arial"/>
                <w:i/>
              </w:rPr>
              <w:t xml:space="preserve"> 5.4; SLQ-6002 Rev B, </w:t>
            </w:r>
            <w:proofErr w:type="gramStart"/>
            <w:r w:rsidRPr="00AE68E5">
              <w:rPr>
                <w:rFonts w:ascii="Cambria" w:hAnsi="Cambria" w:cs="Arial"/>
                <w:i/>
              </w:rPr>
              <w:t>Note</w:t>
            </w:r>
            <w:proofErr w:type="gramEnd"/>
            <w:r w:rsidRPr="00AE68E5">
              <w:rPr>
                <w:rFonts w:ascii="Cambria" w:hAnsi="Cambria" w:cs="Arial"/>
                <w:i/>
              </w:rPr>
              <w:t xml:space="preserve"> 5.4; SLQ-6004 Rev B, Note 5.4. (Note 5.4 is unchanged from Rev A. This row confirms the valve geometry modification did not adversely affect the balloon inflation function, which interfaces with the check valve assembly.)</w:t>
            </w:r>
          </w:p>
        </w:tc>
        <w:tc>
          <w:tcPr>
            <w:tcW w:w="1890" w:type="dxa"/>
            <w:vAlign w:val="center"/>
          </w:tcPr>
          <w:p w14:paraId="4745144E" w14:textId="19B7B086" w:rsidR="008C4C84" w:rsidRPr="00942DA4" w:rsidRDefault="00AE68E5" w:rsidP="00F349F8">
            <w:pPr>
              <w:rPr>
                <w:rFonts w:ascii="Cambria" w:hAnsi="Cambria" w:cs="Arial"/>
                <w:i/>
              </w:rPr>
            </w:pPr>
            <w:r w:rsidRPr="00AE68E5">
              <w:rPr>
                <w:rFonts w:ascii="Cambria" w:hAnsi="Cambria" w:cs="Arial"/>
                <w:i/>
              </w:rPr>
              <w:t>CHR-SLQ-6002 Rev A, LN 20250324, QTY 5500: Leak test performed per TM-0013 on 22 sample units from the post-modification lot. All 22 units passed.</w:t>
            </w:r>
          </w:p>
        </w:tc>
        <w:tc>
          <w:tcPr>
            <w:tcW w:w="2484" w:type="dxa"/>
            <w:vAlign w:val="center"/>
          </w:tcPr>
          <w:p w14:paraId="4028DDC3" w14:textId="66F5EE28" w:rsidR="008C4C84" w:rsidRPr="00942DA4" w:rsidRDefault="00AE68E5" w:rsidP="00F349F8">
            <w:pPr>
              <w:rPr>
                <w:rFonts w:ascii="Cambria" w:hAnsi="Cambria" w:cs="Arial"/>
                <w:i/>
              </w:rPr>
            </w:pPr>
            <w:r w:rsidRPr="00AE68E5">
              <w:rPr>
                <w:rFonts w:ascii="Cambria" w:hAnsi="Cambria" w:cs="Arial"/>
                <w:i/>
              </w:rPr>
              <w:t>AQL 4.0 sampling per drawing general note 1.3. Leak test per TM-0013 (Foley Catheter Leak Test). This is a standard receiving inspection test confirming balloon integrity; it is included here to demonstrate that the valve geometry modification did not introduce adverse effects on the interfacing balloon inflation function.</w:t>
            </w:r>
          </w:p>
        </w:tc>
      </w:tr>
    </w:tbl>
    <w:p w14:paraId="6C6DBC41" w14:textId="77777777" w:rsidR="000D29B6" w:rsidRPr="0004504B" w:rsidRDefault="000D29B6" w:rsidP="001B165F">
      <w:pPr>
        <w:pStyle w:val="Heading2"/>
        <w:numPr>
          <w:ilvl w:val="0"/>
          <w:numId w:val="0"/>
        </w:numPr>
      </w:pPr>
    </w:p>
    <w:sectPr w:rsidR="000D29B6" w:rsidRPr="0004504B" w:rsidSect="000D29B6">
      <w:pgSz w:w="15840" w:h="12240" w:orient="landscape"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43E1E" w14:textId="77777777" w:rsidR="004A6F0C" w:rsidRDefault="004A6F0C">
      <w:r>
        <w:separator/>
      </w:r>
    </w:p>
    <w:p w14:paraId="655FC509" w14:textId="77777777" w:rsidR="004A6F0C" w:rsidRDefault="004A6F0C"/>
    <w:p w14:paraId="2616D6B1" w14:textId="77777777" w:rsidR="004A6F0C" w:rsidRDefault="004A6F0C"/>
  </w:endnote>
  <w:endnote w:type="continuationSeparator" w:id="0">
    <w:p w14:paraId="3D97C7BE" w14:textId="77777777" w:rsidR="004A6F0C" w:rsidRDefault="004A6F0C">
      <w:r>
        <w:continuationSeparator/>
      </w:r>
    </w:p>
    <w:p w14:paraId="02D6A270" w14:textId="77777777" w:rsidR="004A6F0C" w:rsidRDefault="004A6F0C"/>
    <w:p w14:paraId="7F225111" w14:textId="77777777" w:rsidR="004A6F0C" w:rsidRDefault="004A6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auto"/>
    <w:pitch w:val="variable"/>
    <w:sig w:usb0="E00002FF" w:usb1="5000205A"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2E2339" w:rsidRPr="007424D7" w14:paraId="58257A50" w14:textId="77777777" w:rsidTr="00FC03AA">
      <w:trPr>
        <w:trHeight w:val="350"/>
        <w:jc w:val="center"/>
      </w:trPr>
      <w:tc>
        <w:tcPr>
          <w:tcW w:w="3169" w:type="dxa"/>
          <w:vAlign w:val="center"/>
        </w:tcPr>
        <w:p w14:paraId="159F1EDA" w14:textId="27E34AF3" w:rsidR="002E2339" w:rsidRPr="000B7BEB" w:rsidRDefault="00EB031F" w:rsidP="002E2339">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A551B3">
            <w:rPr>
              <w:rFonts w:ascii="Cambria" w:hAnsi="Cambria" w:cs="Arial"/>
              <w:b/>
              <w:sz w:val="18"/>
              <w:szCs w:val="18"/>
            </w:rPr>
            <w:t>ilq</w:t>
          </w:r>
          <w:r>
            <w:rPr>
              <w:rFonts w:ascii="Cambria" w:hAnsi="Cambria" w:cs="Arial"/>
              <w:b/>
              <w:sz w:val="18"/>
              <w:szCs w:val="18"/>
            </w:rPr>
            <w:t xml:space="preserve"> Technologies</w:t>
          </w:r>
          <w:r w:rsidR="00A551B3">
            <w:rPr>
              <w:rFonts w:ascii="Cambria" w:hAnsi="Cambria" w:cs="Arial"/>
              <w:b/>
              <w:sz w:val="18"/>
              <w:szCs w:val="18"/>
            </w:rPr>
            <w:t xml:space="preserve"> Corporation</w:t>
          </w:r>
        </w:p>
      </w:tc>
      <w:tc>
        <w:tcPr>
          <w:tcW w:w="3170" w:type="dxa"/>
          <w:vAlign w:val="center"/>
        </w:tcPr>
        <w:p w14:paraId="146F5921" w14:textId="0DA85C3D" w:rsidR="00B23BBE" w:rsidRPr="00D6703E" w:rsidRDefault="00AD7D1F" w:rsidP="00B23BBE">
          <w:pPr>
            <w:pStyle w:val="Footer"/>
            <w:tabs>
              <w:tab w:val="clear" w:pos="4320"/>
              <w:tab w:val="center" w:pos="1620"/>
              <w:tab w:val="left" w:pos="2880"/>
            </w:tabs>
            <w:jc w:val="center"/>
            <w:rPr>
              <w:rFonts w:ascii="Cambria" w:hAnsi="Cambria" w:cs="Arial"/>
              <w:b/>
              <w:sz w:val="18"/>
              <w:szCs w:val="18"/>
            </w:rPr>
          </w:pPr>
          <w:r w:rsidRPr="00AD7D1F">
            <w:rPr>
              <w:rFonts w:ascii="Cambria" w:hAnsi="Cambria" w:cs="Arial"/>
              <w:b/>
              <w:sz w:val="18"/>
              <w:szCs w:val="18"/>
            </w:rPr>
            <w:t>PROPRIETARY AND CONFIDENTIAL</w:t>
          </w:r>
        </w:p>
        <w:p w14:paraId="0EBB08DB" w14:textId="77777777" w:rsidR="002E2339" w:rsidRPr="000B7BEB" w:rsidRDefault="00B23BBE" w:rsidP="00B23BBE">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vAlign w:val="center"/>
        </w:tcPr>
        <w:p w14:paraId="384F6013" w14:textId="77777777" w:rsidR="002E2339" w:rsidRPr="000B7BEB" w:rsidRDefault="002E2339" w:rsidP="002E2339">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eastAsiaTheme="minorEastAsia" w:hAnsi="Cambria" w:cs="Arial"/>
              <w:sz w:val="18"/>
              <w:szCs w:val="18"/>
            </w:rPr>
            <w:fldChar w:fldCharType="begin"/>
          </w:r>
          <w:r w:rsidRPr="000B7BEB">
            <w:rPr>
              <w:rStyle w:val="PageNumber"/>
              <w:rFonts w:ascii="Cambria" w:eastAsiaTheme="minorEastAsia" w:hAnsi="Cambria" w:cs="Arial"/>
              <w:sz w:val="18"/>
              <w:szCs w:val="18"/>
            </w:rPr>
            <w:instrText xml:space="preserve"> PAGE </w:instrText>
          </w:r>
          <w:r w:rsidRPr="000B7BEB">
            <w:rPr>
              <w:rStyle w:val="PageNumber"/>
              <w:rFonts w:ascii="Cambria" w:eastAsiaTheme="minorEastAsia" w:hAnsi="Cambria" w:cs="Arial"/>
              <w:sz w:val="18"/>
              <w:szCs w:val="18"/>
            </w:rPr>
            <w:fldChar w:fldCharType="separate"/>
          </w:r>
          <w:r w:rsidR="006A4CDC">
            <w:rPr>
              <w:rStyle w:val="PageNumber"/>
              <w:rFonts w:ascii="Cambria" w:eastAsiaTheme="minorEastAsia" w:hAnsi="Cambria" w:cs="Arial"/>
              <w:noProof/>
              <w:sz w:val="18"/>
              <w:szCs w:val="18"/>
            </w:rPr>
            <w:t>1</w:t>
          </w:r>
          <w:r w:rsidRPr="000B7BEB">
            <w:rPr>
              <w:rStyle w:val="PageNumber"/>
              <w:rFonts w:ascii="Cambria" w:eastAsiaTheme="minorEastAsia" w:hAnsi="Cambria" w:cs="Arial"/>
              <w:sz w:val="18"/>
              <w:szCs w:val="18"/>
            </w:rPr>
            <w:fldChar w:fldCharType="end"/>
          </w:r>
          <w:r w:rsidRPr="000B7BEB">
            <w:rPr>
              <w:rStyle w:val="PageNumber"/>
              <w:rFonts w:ascii="Cambria" w:eastAsiaTheme="minorEastAs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6A4CDC">
            <w:rPr>
              <w:rFonts w:ascii="Cambria" w:hAnsi="Cambria" w:cs="Arial"/>
              <w:noProof/>
              <w:sz w:val="18"/>
              <w:szCs w:val="18"/>
            </w:rPr>
            <w:t>3</w:t>
          </w:r>
          <w:r w:rsidRPr="000B7BEB">
            <w:rPr>
              <w:rFonts w:ascii="Cambria" w:hAnsi="Cambria" w:cs="Arial"/>
              <w:sz w:val="18"/>
              <w:szCs w:val="18"/>
            </w:rPr>
            <w:fldChar w:fldCharType="end"/>
          </w:r>
        </w:p>
      </w:tc>
    </w:tr>
  </w:tbl>
  <w:p w14:paraId="30D23EDB" w14:textId="77777777" w:rsidR="002E2339" w:rsidRDefault="002E2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9F351" w14:textId="77777777" w:rsidR="004A6F0C" w:rsidRDefault="004A6F0C">
      <w:r>
        <w:separator/>
      </w:r>
    </w:p>
    <w:p w14:paraId="0D585E58" w14:textId="77777777" w:rsidR="004A6F0C" w:rsidRDefault="004A6F0C"/>
    <w:p w14:paraId="1228095F" w14:textId="77777777" w:rsidR="004A6F0C" w:rsidRDefault="004A6F0C"/>
  </w:footnote>
  <w:footnote w:type="continuationSeparator" w:id="0">
    <w:p w14:paraId="7E04B77D" w14:textId="77777777" w:rsidR="004A6F0C" w:rsidRDefault="004A6F0C">
      <w:r>
        <w:continuationSeparator/>
      </w:r>
    </w:p>
    <w:p w14:paraId="16002AA0" w14:textId="77777777" w:rsidR="004A6F0C" w:rsidRDefault="004A6F0C"/>
    <w:p w14:paraId="1F700B7A" w14:textId="77777777" w:rsidR="004A6F0C" w:rsidRDefault="004A6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541D2A" w:rsidRPr="008960B6" w14:paraId="50A34DBC" w14:textId="77777777" w:rsidTr="00BA19C9">
      <w:trPr>
        <w:cantSplit/>
        <w:trHeight w:val="690"/>
        <w:jc w:val="center"/>
      </w:trPr>
      <w:tc>
        <w:tcPr>
          <w:tcW w:w="3528" w:type="dxa"/>
          <w:vMerge w:val="restart"/>
          <w:vAlign w:val="center"/>
        </w:tcPr>
        <w:p w14:paraId="3283C378" w14:textId="18D1A1D1" w:rsidR="00541D2A" w:rsidRPr="00D6703E" w:rsidRDefault="00C03D83"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36E6F405" wp14:editId="3CBD1190">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stretch>
                          <a:fillRect/>
                        </a:stretch>
                      </pic:blipFill>
                      <pic:spPr>
                        <a:xfrm>
                          <a:off x="0" y="0"/>
                          <a:ext cx="712168" cy="731520"/>
                        </a:xfrm>
                        <a:prstGeom prst="rect">
                          <a:avLst/>
                        </a:prstGeom>
                      </pic:spPr>
                    </pic:pic>
                  </a:graphicData>
                </a:graphic>
              </wp:inline>
            </w:drawing>
          </w:r>
        </w:p>
      </w:tc>
      <w:tc>
        <w:tcPr>
          <w:tcW w:w="4557" w:type="dxa"/>
          <w:vAlign w:val="center"/>
        </w:tcPr>
        <w:p w14:paraId="03EE8EEB" w14:textId="77777777" w:rsidR="00541D2A" w:rsidRPr="000B7BEB" w:rsidRDefault="00541D2A" w:rsidP="00D34F0E">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p>
        <w:p w14:paraId="71ED7155" w14:textId="294269D9" w:rsidR="00541D2A" w:rsidRPr="000B7BEB" w:rsidRDefault="00541D2A" w:rsidP="00D34F0E">
          <w:pPr>
            <w:pStyle w:val="Header"/>
            <w:ind w:hanging="14"/>
            <w:rPr>
              <w:rFonts w:ascii="Cambria" w:hAnsi="Cambria" w:cs="Tahoma"/>
              <w:b/>
              <w:bCs/>
            </w:rPr>
          </w:pPr>
          <w:r>
            <w:rPr>
              <w:rFonts w:ascii="Cambria" w:hAnsi="Cambria" w:cs="Tahoma"/>
            </w:rPr>
            <w:t>Design Input/Output Matrix Template</w:t>
          </w:r>
          <w:r w:rsidR="007C7FC5">
            <w:rPr>
              <w:rFonts w:ascii="Cambria" w:hAnsi="Cambria" w:cs="Tahoma"/>
            </w:rPr>
            <w:t xml:space="preserve">. DC.SLQ001 </w:t>
          </w:r>
          <w:r w:rsidR="007C7FC5" w:rsidRPr="00EC567C">
            <w:rPr>
              <w:rFonts w:ascii="Cambria" w:hAnsi="Cambria" w:cs="Tahoma"/>
            </w:rPr>
            <w:t>Design Assessment, Valve Component Modification, ClearTract Catheter</w:t>
          </w:r>
        </w:p>
      </w:tc>
      <w:tc>
        <w:tcPr>
          <w:tcW w:w="1707" w:type="dxa"/>
          <w:vAlign w:val="center"/>
        </w:tcPr>
        <w:p w14:paraId="3D21D146" w14:textId="77777777" w:rsidR="00541D2A" w:rsidRPr="000B7BEB" w:rsidRDefault="00541D2A" w:rsidP="00D34F0E">
          <w:pPr>
            <w:pStyle w:val="Header"/>
            <w:ind w:hanging="14"/>
            <w:rPr>
              <w:rFonts w:ascii="Cambria" w:hAnsi="Cambria" w:cs="Tahoma"/>
              <w:b/>
            </w:rPr>
          </w:pPr>
          <w:r w:rsidRPr="000B7BEB">
            <w:rPr>
              <w:rFonts w:ascii="Cambria" w:hAnsi="Cambria" w:cs="Tahoma"/>
              <w:b/>
            </w:rPr>
            <w:t>Revision:</w:t>
          </w:r>
        </w:p>
        <w:p w14:paraId="55664CF6" w14:textId="235DE35D" w:rsidR="00541D2A" w:rsidRPr="000B7BEB" w:rsidRDefault="005F2366" w:rsidP="00D34F0E">
          <w:pPr>
            <w:pStyle w:val="Header"/>
            <w:ind w:hanging="14"/>
            <w:rPr>
              <w:rFonts w:ascii="Cambria" w:hAnsi="Cambria" w:cs="Tahoma"/>
            </w:rPr>
          </w:pPr>
          <w:r>
            <w:rPr>
              <w:rFonts w:ascii="Cambria" w:hAnsi="Cambria" w:cs="Tahoma"/>
            </w:rPr>
            <w:t>A</w:t>
          </w:r>
        </w:p>
      </w:tc>
    </w:tr>
    <w:tr w:rsidR="00541D2A" w:rsidRPr="008960B6" w14:paraId="1CFF6D26" w14:textId="77777777" w:rsidTr="00BA19C9">
      <w:trPr>
        <w:cantSplit/>
        <w:trHeight w:val="440"/>
        <w:jc w:val="center"/>
      </w:trPr>
      <w:tc>
        <w:tcPr>
          <w:tcW w:w="3528" w:type="dxa"/>
          <w:vMerge/>
        </w:tcPr>
        <w:p w14:paraId="23EA135E" w14:textId="77777777" w:rsidR="00541D2A" w:rsidRPr="00EA151F" w:rsidRDefault="00541D2A" w:rsidP="00D34F0E">
          <w:pPr>
            <w:pStyle w:val="Header"/>
            <w:rPr>
              <w:rFonts w:ascii="Tahoma" w:hAnsi="Tahoma" w:cs="Tahoma"/>
              <w:b/>
              <w:bCs/>
              <w:smallCaps/>
              <w:sz w:val="18"/>
              <w:szCs w:val="18"/>
            </w:rPr>
          </w:pPr>
        </w:p>
      </w:tc>
      <w:tc>
        <w:tcPr>
          <w:tcW w:w="4557" w:type="dxa"/>
          <w:vAlign w:val="center"/>
        </w:tcPr>
        <w:p w14:paraId="65F5D077" w14:textId="77777777" w:rsidR="00541D2A" w:rsidRPr="000B7BEB" w:rsidRDefault="00541D2A" w:rsidP="00D34F0E">
          <w:pPr>
            <w:pStyle w:val="Header"/>
            <w:rPr>
              <w:rFonts w:ascii="Cambria" w:hAnsi="Cambria" w:cs="Tahoma"/>
              <w:b/>
              <w:bCs/>
            </w:rPr>
          </w:pPr>
          <w:r w:rsidRPr="000B7BEB">
            <w:rPr>
              <w:rFonts w:ascii="Cambria" w:hAnsi="Cambria" w:cs="Tahoma"/>
              <w:b/>
              <w:bCs/>
              <w:smallCaps/>
            </w:rPr>
            <w:t xml:space="preserve">Document </w:t>
          </w:r>
          <w:r w:rsidRPr="000B7BEB">
            <w:rPr>
              <w:rFonts w:ascii="Cambria" w:hAnsi="Cambria" w:cs="Tahoma"/>
              <w:b/>
              <w:bCs/>
            </w:rPr>
            <w:t>#:</w:t>
          </w:r>
        </w:p>
        <w:p w14:paraId="224B64D6" w14:textId="1931D5C9" w:rsidR="00541D2A" w:rsidRPr="000B7BEB" w:rsidRDefault="00541D2A" w:rsidP="00D34F0E">
          <w:pPr>
            <w:pStyle w:val="Header"/>
            <w:rPr>
              <w:rFonts w:ascii="Cambria" w:hAnsi="Cambria" w:cs="Tahoma"/>
              <w:b/>
              <w:bCs/>
            </w:rPr>
          </w:pPr>
          <w:r>
            <w:rPr>
              <w:rFonts w:ascii="Cambria" w:hAnsi="Cambria" w:cs="Tahoma"/>
            </w:rPr>
            <w:t>TMP2-</w:t>
          </w:r>
          <w:proofErr w:type="gramStart"/>
          <w:r w:rsidR="00EB031F">
            <w:rPr>
              <w:rFonts w:ascii="Cambria" w:hAnsi="Cambria" w:cs="Tahoma"/>
            </w:rPr>
            <w:t>QM.SLQ</w:t>
          </w:r>
          <w:proofErr w:type="gramEnd"/>
          <w:r w:rsidR="005E646F">
            <w:rPr>
              <w:rFonts w:ascii="Cambria" w:hAnsi="Cambria" w:cs="Tahoma"/>
            </w:rPr>
            <w:t>0</w:t>
          </w:r>
          <w:r w:rsidRPr="000B7BEB">
            <w:rPr>
              <w:rFonts w:ascii="Cambria" w:hAnsi="Cambria" w:cs="Tahoma"/>
            </w:rPr>
            <w:t>0</w:t>
          </w:r>
          <w:r>
            <w:rPr>
              <w:rFonts w:ascii="Cambria" w:hAnsi="Cambria" w:cs="Tahoma"/>
            </w:rPr>
            <w:t>7</w:t>
          </w:r>
        </w:p>
      </w:tc>
      <w:tc>
        <w:tcPr>
          <w:tcW w:w="1707" w:type="dxa"/>
          <w:vAlign w:val="center"/>
        </w:tcPr>
        <w:p w14:paraId="41682608" w14:textId="77777777" w:rsidR="00541D2A" w:rsidRPr="000B7BEB" w:rsidRDefault="00541D2A" w:rsidP="00D34F0E">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14:paraId="5387D4E6" w14:textId="2F47E301" w:rsidR="00541D2A" w:rsidRPr="000B7BEB" w:rsidRDefault="00E57320" w:rsidP="00D34F0E">
          <w:pPr>
            <w:pStyle w:val="Header"/>
            <w:rPr>
              <w:rFonts w:ascii="Cambria" w:hAnsi="Cambria" w:cs="Tahoma"/>
              <w:bCs/>
            </w:rPr>
          </w:pPr>
          <w:r>
            <w:rPr>
              <w:rFonts w:ascii="Cambria" w:hAnsi="Cambria" w:cs="Tahoma"/>
              <w:bCs/>
            </w:rPr>
            <w:t>2</w:t>
          </w:r>
          <w:r w:rsidR="003D7551">
            <w:rPr>
              <w:rFonts w:ascii="Cambria" w:hAnsi="Cambria" w:cs="Tahoma"/>
              <w:bCs/>
            </w:rPr>
            <w:t>1</w:t>
          </w:r>
          <w:r w:rsidR="007C7FC5">
            <w:rPr>
              <w:rFonts w:ascii="Cambria" w:hAnsi="Cambria" w:cs="Tahoma"/>
              <w:bCs/>
            </w:rPr>
            <w:t>Apr</w:t>
          </w:r>
          <w:r w:rsidR="003D7551">
            <w:rPr>
              <w:rFonts w:ascii="Cambria" w:hAnsi="Cambria" w:cs="Tahoma"/>
              <w:bCs/>
            </w:rPr>
            <w:t>2026</w:t>
          </w:r>
        </w:p>
      </w:tc>
    </w:tr>
  </w:tbl>
  <w:p w14:paraId="0E0B0C5F" w14:textId="77777777" w:rsidR="000D29B6" w:rsidRPr="007303DB" w:rsidRDefault="000D29B6" w:rsidP="007303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4D6F636"/>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49F3F56"/>
    <w:multiLevelType w:val="multilevel"/>
    <w:tmpl w:val="546E6F06"/>
    <w:lvl w:ilvl="0">
      <w:start w:val="1"/>
      <w:numFmt w:val="decimal"/>
      <w:lvlText w:val="%1"/>
      <w:lvlJc w:val="left"/>
      <w:pPr>
        <w:tabs>
          <w:tab w:val="num" w:pos="360"/>
        </w:tabs>
        <w:ind w:left="360" w:hanging="360"/>
      </w:pPr>
      <w:rPr>
        <w:rFonts w:ascii="Tahoma" w:hAnsi="Tahoma" w:cs="Arial Narrow" w:hint="default"/>
        <w:b/>
        <w:i w:val="0"/>
        <w:sz w:val="22"/>
        <w:szCs w:val="22"/>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3"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4"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3BD65368"/>
    <w:multiLevelType w:val="multilevel"/>
    <w:tmpl w:val="BDCE1E74"/>
    <w:lvl w:ilvl="0">
      <w:start w:val="1"/>
      <w:numFmt w:val="decimal"/>
      <w:pStyle w:val="Heading1"/>
      <w:lvlText w:val="%1"/>
      <w:lvlJc w:val="left"/>
      <w:pPr>
        <w:ind w:left="432" w:hanging="432"/>
      </w:pPr>
      <w:rPr>
        <w:rFonts w:ascii="Cambria" w:hAnsi="Cambria" w:cs="Tahoma" w:hint="default"/>
        <w:b/>
        <w:i w:val="0"/>
        <w:sz w:val="24"/>
        <w:szCs w:val="24"/>
      </w:rPr>
    </w:lvl>
    <w:lvl w:ilvl="1">
      <w:start w:val="1"/>
      <w:numFmt w:val="decimal"/>
      <w:pStyle w:val="Heading2"/>
      <w:lvlText w:val="%1.%2"/>
      <w:lvlJc w:val="left"/>
      <w:pPr>
        <w:tabs>
          <w:tab w:val="num" w:pos="1152"/>
        </w:tabs>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016"/>
        </w:tabs>
        <w:ind w:left="2016" w:hanging="864"/>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3168"/>
        </w:tabs>
        <w:ind w:left="3168" w:hanging="1152"/>
      </w:pPr>
      <w:rPr>
        <w:rFonts w:ascii="Verdana" w:hAnsi="Verdana" w:cs="Arial Narrow" w:hint="default"/>
        <w:i w:val="0"/>
        <w:sz w:val="22"/>
        <w:szCs w:val="22"/>
      </w:rPr>
    </w:lvl>
    <w:lvl w:ilvl="4">
      <w:start w:val="1"/>
      <w:numFmt w:val="decimal"/>
      <w:pStyle w:val="Heading5"/>
      <w:lvlText w:val="%1.%2.%3.%4.%5"/>
      <w:lvlJc w:val="left"/>
      <w:pPr>
        <w:tabs>
          <w:tab w:val="num" w:pos="4032"/>
        </w:tabs>
        <w:ind w:left="4032" w:hanging="864"/>
      </w:pPr>
      <w:rPr>
        <w:rFonts w:ascii="Arial" w:hAnsi="Arial" w:cs="Arial Narrow" w:hint="default"/>
        <w:b w:val="0"/>
        <w:i w:val="0"/>
        <w:sz w:val="20"/>
        <w:szCs w:val="20"/>
      </w:rPr>
    </w:lvl>
    <w:lvl w:ilvl="5">
      <w:start w:val="1"/>
      <w:numFmt w:val="decimal"/>
      <w:pStyle w:val="Heading6"/>
      <w:lvlText w:val="%1.%2.%3.%4.%5.%6"/>
      <w:lvlJc w:val="left"/>
      <w:pPr>
        <w:ind w:left="4608" w:hanging="576"/>
      </w:pPr>
      <w:rPr>
        <w:rFonts w:ascii="Arial" w:hAnsi="Arial" w:cs="Arial Narrow"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6" w15:restartNumberingAfterBreak="0">
    <w:nsid w:val="418C5DC7"/>
    <w:multiLevelType w:val="multilevel"/>
    <w:tmpl w:val="546E6F06"/>
    <w:lvl w:ilvl="0">
      <w:start w:val="1"/>
      <w:numFmt w:val="decimal"/>
      <w:lvlText w:val="%1"/>
      <w:lvlJc w:val="left"/>
      <w:pPr>
        <w:tabs>
          <w:tab w:val="num" w:pos="360"/>
        </w:tabs>
        <w:ind w:left="360" w:hanging="360"/>
      </w:pPr>
      <w:rPr>
        <w:rFonts w:ascii="Tahoma" w:hAnsi="Tahoma" w:cs="Arial Narrow" w:hint="default"/>
        <w:b/>
        <w:i w:val="0"/>
        <w:sz w:val="22"/>
        <w:szCs w:val="22"/>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7"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Symbol" w:hint="default"/>
        <w:b/>
        <w:sz w:val="20"/>
        <w:szCs w:val="20"/>
      </w:rPr>
    </w:lvl>
    <w:lvl w:ilvl="1" w:tplc="D212A970">
      <w:start w:val="1"/>
      <w:numFmt w:val="lowerLetter"/>
      <w:lvlText w:val="%2."/>
      <w:lvlJc w:val="left"/>
      <w:pPr>
        <w:tabs>
          <w:tab w:val="num" w:pos="720"/>
        </w:tabs>
        <w:ind w:left="720" w:hanging="360"/>
      </w:pPr>
      <w:rPr>
        <w:rFonts w:ascii="Arial" w:hAnsi="Arial" w:cs="Symbo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499C37C6"/>
    <w:multiLevelType w:val="multilevel"/>
    <w:tmpl w:val="EB86FCB6"/>
    <w:lvl w:ilvl="0">
      <w:start w:val="1"/>
      <w:numFmt w:val="decimal"/>
      <w:lvlText w:val="%1"/>
      <w:lvlJc w:val="left"/>
      <w:pPr>
        <w:tabs>
          <w:tab w:val="num" w:pos="360"/>
        </w:tabs>
        <w:ind w:left="360" w:hanging="360"/>
      </w:pPr>
      <w:rPr>
        <w:rFonts w:ascii="Arial" w:hAnsi="Arial" w:cs="Arial" w:hint="default"/>
        <w:b/>
        <w:i w:val="0"/>
        <w:sz w:val="22"/>
        <w:szCs w:val="22"/>
      </w:rPr>
    </w:lvl>
    <w:lvl w:ilvl="1">
      <w:start w:val="1"/>
      <w:numFmt w:val="decimal"/>
      <w:lvlText w:val="%1.%2"/>
      <w:lvlJc w:val="left"/>
      <w:pPr>
        <w:tabs>
          <w:tab w:val="num" w:pos="792"/>
        </w:tabs>
        <w:ind w:left="792" w:hanging="432"/>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tabs>
          <w:tab w:val="num" w:pos="1440"/>
        </w:tabs>
        <w:ind w:left="1440" w:hanging="648"/>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0" w15:restartNumberingAfterBreak="0">
    <w:nsid w:val="4BAC5AC8"/>
    <w:multiLevelType w:val="multilevel"/>
    <w:tmpl w:val="D04A4330"/>
    <w:lvl w:ilvl="0">
      <w:start w:val="1"/>
      <w:numFmt w:val="decimal"/>
      <w:lvlText w:val="%1."/>
      <w:lvlJc w:val="left"/>
      <w:pPr>
        <w:tabs>
          <w:tab w:val="num" w:pos="360"/>
        </w:tabs>
        <w:ind w:left="360" w:hanging="360"/>
      </w:pPr>
      <w:rPr>
        <w:rFonts w:ascii="Tahoma" w:hAnsi="Tahoma" w:cs="Tahoma" w:hint="default"/>
        <w:b/>
        <w:i w:val="0"/>
        <w:sz w:val="24"/>
        <w:szCs w:val="24"/>
      </w:rPr>
    </w:lvl>
    <w:lvl w:ilvl="1">
      <w:start w:val="1"/>
      <w:numFmt w:val="decimal"/>
      <w:lvlText w:val="%1.%2"/>
      <w:lvlJc w:val="left"/>
      <w:pPr>
        <w:tabs>
          <w:tab w:val="num" w:pos="792"/>
        </w:tabs>
        <w:ind w:left="792" w:hanging="432"/>
      </w:pPr>
      <w:rPr>
        <w:rFonts w:ascii="Tahoma" w:hAnsi="Tahom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Tahoma" w:hAnsi="Tahom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1"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5F40626B"/>
    <w:multiLevelType w:val="multilevel"/>
    <w:tmpl w:val="0BDC7530"/>
    <w:lvl w:ilvl="0">
      <w:start w:val="1"/>
      <w:numFmt w:val="decimal"/>
      <w:lvlText w:val="%1."/>
      <w:lvlJc w:val="left"/>
      <w:pPr>
        <w:ind w:left="360" w:hanging="360"/>
      </w:pPr>
      <w:rPr>
        <w:rFonts w:ascii="Cambria" w:hAnsi="Cambria" w:cs="Tahoma" w:hint="default"/>
        <w:b/>
        <w:i w:val="0"/>
        <w:sz w:val="24"/>
        <w:szCs w:val="24"/>
      </w:rPr>
    </w:lvl>
    <w:lvl w:ilvl="1">
      <w:start w:val="1"/>
      <w:numFmt w:val="decimal"/>
      <w:lvlText w:val="%1.%2"/>
      <w:lvlJc w:val="left"/>
      <w:pPr>
        <w:tabs>
          <w:tab w:val="num" w:pos="792"/>
        </w:tabs>
        <w:ind w:left="792" w:hanging="432"/>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4"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B40E58"/>
    <w:multiLevelType w:val="multilevel"/>
    <w:tmpl w:val="068811D8"/>
    <w:lvl w:ilvl="0">
      <w:start w:val="1"/>
      <w:numFmt w:val="decimal"/>
      <w:lvlText w:val="%1."/>
      <w:lvlJc w:val="left"/>
      <w:pPr>
        <w:tabs>
          <w:tab w:val="num" w:pos="360"/>
        </w:tabs>
        <w:ind w:left="360" w:hanging="360"/>
      </w:pPr>
      <w:rPr>
        <w:rFonts w:ascii="Arial" w:hAnsi="Arial" w:cs="Arial" w:hint="default"/>
        <w:b/>
        <w:i w:val="0"/>
        <w:sz w:val="22"/>
        <w:szCs w:val="22"/>
      </w:rPr>
    </w:lvl>
    <w:lvl w:ilvl="1">
      <w:start w:val="1"/>
      <w:numFmt w:val="decimal"/>
      <w:lvlText w:val="%1.%2"/>
      <w:lvlJc w:val="left"/>
      <w:pPr>
        <w:tabs>
          <w:tab w:val="num" w:pos="792"/>
        </w:tabs>
        <w:ind w:left="792" w:hanging="432"/>
      </w:pPr>
      <w:rPr>
        <w:rFonts w:ascii="Arial" w:hAnsi="Arial" w:cs="Arial" w:hint="default"/>
        <w:b w:val="0"/>
        <w:bCs w:val="0"/>
        <w:i w:val="0"/>
        <w:iCs w:val="0"/>
        <w:caps w:val="0"/>
        <w:smallCaps w:val="0"/>
        <w:strike w:val="0"/>
        <w:dstrike w:val="0"/>
        <w:vanish w:val="0"/>
        <w:color w:val="000000"/>
        <w:spacing w:val="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1440"/>
        </w:tabs>
        <w:ind w:left="1440" w:hanging="648"/>
      </w:pPr>
      <w:rPr>
        <w:rFonts w:ascii="Symbol" w:hAnsi="Symbol" w:hint="default"/>
        <w:b w:val="0"/>
        <w:bCs w:val="0"/>
        <w:i w:val="0"/>
        <w:iCs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7"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16cid:durableId="2034921008">
    <w:abstractNumId w:val="1"/>
  </w:num>
  <w:num w:numId="2" w16cid:durableId="851072922">
    <w:abstractNumId w:val="17"/>
  </w:num>
  <w:num w:numId="3" w16cid:durableId="42216339">
    <w:abstractNumId w:val="12"/>
  </w:num>
  <w:num w:numId="4" w16cid:durableId="300888317">
    <w:abstractNumId w:val="5"/>
  </w:num>
  <w:num w:numId="5" w16cid:durableId="748501617">
    <w:abstractNumId w:val="5"/>
  </w:num>
  <w:num w:numId="6" w16cid:durableId="651256280">
    <w:abstractNumId w:val="1"/>
  </w:num>
  <w:num w:numId="7" w16cid:durableId="434788725">
    <w:abstractNumId w:val="15"/>
  </w:num>
  <w:num w:numId="8" w16cid:durableId="2015525327">
    <w:abstractNumId w:val="8"/>
  </w:num>
  <w:num w:numId="9" w16cid:durableId="1755972871">
    <w:abstractNumId w:val="11"/>
  </w:num>
  <w:num w:numId="10" w16cid:durableId="1138574690">
    <w:abstractNumId w:val="4"/>
  </w:num>
  <w:num w:numId="11" w16cid:durableId="359206576">
    <w:abstractNumId w:val="14"/>
  </w:num>
  <w:num w:numId="12" w16cid:durableId="408314357">
    <w:abstractNumId w:val="7"/>
  </w:num>
  <w:num w:numId="13" w16cid:durableId="551111658">
    <w:abstractNumId w:val="3"/>
  </w:num>
  <w:num w:numId="14" w16cid:durableId="14017094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03166067">
    <w:abstractNumId w:val="5"/>
  </w:num>
  <w:num w:numId="16" w16cid:durableId="1082141350">
    <w:abstractNumId w:val="5"/>
  </w:num>
  <w:num w:numId="17" w16cid:durableId="3405947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13476061">
    <w:abstractNumId w:val="5"/>
  </w:num>
  <w:num w:numId="19" w16cid:durableId="38019365">
    <w:abstractNumId w:val="5"/>
  </w:num>
  <w:num w:numId="20" w16cid:durableId="19609173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43409074">
    <w:abstractNumId w:val="5"/>
  </w:num>
  <w:num w:numId="22" w16cid:durableId="1424032337">
    <w:abstractNumId w:val="5"/>
  </w:num>
  <w:num w:numId="23" w16cid:durableId="1212958085">
    <w:abstractNumId w:val="0"/>
  </w:num>
  <w:num w:numId="24" w16cid:durableId="1369454135">
    <w:abstractNumId w:val="2"/>
  </w:num>
  <w:num w:numId="25" w16cid:durableId="1758479143">
    <w:abstractNumId w:val="6"/>
  </w:num>
  <w:num w:numId="26" w16cid:durableId="1269199728">
    <w:abstractNumId w:val="5"/>
  </w:num>
  <w:num w:numId="27" w16cid:durableId="1054081184">
    <w:abstractNumId w:val="5"/>
  </w:num>
  <w:num w:numId="28" w16cid:durableId="702480386">
    <w:abstractNumId w:val="5"/>
  </w:num>
  <w:num w:numId="29" w16cid:durableId="187328996">
    <w:abstractNumId w:val="5"/>
  </w:num>
  <w:num w:numId="30" w16cid:durableId="1562986376">
    <w:abstractNumId w:val="5"/>
  </w:num>
  <w:num w:numId="31" w16cid:durableId="1559121275">
    <w:abstractNumId w:val="5"/>
  </w:num>
  <w:num w:numId="32" w16cid:durableId="1197738283">
    <w:abstractNumId w:val="5"/>
  </w:num>
  <w:num w:numId="33" w16cid:durableId="423958105">
    <w:abstractNumId w:val="5"/>
  </w:num>
  <w:num w:numId="34" w16cid:durableId="917399608">
    <w:abstractNumId w:val="5"/>
  </w:num>
  <w:num w:numId="35" w16cid:durableId="1863476750">
    <w:abstractNumId w:val="5"/>
  </w:num>
  <w:num w:numId="36" w16cid:durableId="337735453">
    <w:abstractNumId w:val="5"/>
  </w:num>
  <w:num w:numId="37" w16cid:durableId="222836643">
    <w:abstractNumId w:val="5"/>
  </w:num>
  <w:num w:numId="38" w16cid:durableId="548302636">
    <w:abstractNumId w:val="5"/>
  </w:num>
  <w:num w:numId="39" w16cid:durableId="357436408">
    <w:abstractNumId w:val="5"/>
  </w:num>
  <w:num w:numId="40" w16cid:durableId="150294807">
    <w:abstractNumId w:val="5"/>
  </w:num>
  <w:num w:numId="41" w16cid:durableId="417215082">
    <w:abstractNumId w:val="16"/>
  </w:num>
  <w:num w:numId="42" w16cid:durableId="1786804294">
    <w:abstractNumId w:val="5"/>
  </w:num>
  <w:num w:numId="43" w16cid:durableId="1979531010">
    <w:abstractNumId w:val="5"/>
  </w:num>
  <w:num w:numId="44" w16cid:durableId="1347948592">
    <w:abstractNumId w:val="5"/>
  </w:num>
  <w:num w:numId="45" w16cid:durableId="1652518041">
    <w:abstractNumId w:val="5"/>
  </w:num>
  <w:num w:numId="46" w16cid:durableId="1223716421">
    <w:abstractNumId w:val="9"/>
  </w:num>
  <w:num w:numId="47" w16cid:durableId="6772692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63434962">
    <w:abstractNumId w:val="10"/>
  </w:num>
  <w:num w:numId="49" w16cid:durableId="637884409">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33E"/>
    <w:rsid w:val="00005490"/>
    <w:rsid w:val="00023AC9"/>
    <w:rsid w:val="00030955"/>
    <w:rsid w:val="000356B3"/>
    <w:rsid w:val="0004504B"/>
    <w:rsid w:val="000A45E8"/>
    <w:rsid w:val="000A4AD0"/>
    <w:rsid w:val="000C2AED"/>
    <w:rsid w:val="000C2AF6"/>
    <w:rsid w:val="000C2D43"/>
    <w:rsid w:val="000D29B6"/>
    <w:rsid w:val="000E0641"/>
    <w:rsid w:val="0010006F"/>
    <w:rsid w:val="00110C60"/>
    <w:rsid w:val="00121739"/>
    <w:rsid w:val="00131233"/>
    <w:rsid w:val="001663A3"/>
    <w:rsid w:val="00167727"/>
    <w:rsid w:val="00194259"/>
    <w:rsid w:val="001B165F"/>
    <w:rsid w:val="001D3664"/>
    <w:rsid w:val="00223554"/>
    <w:rsid w:val="00224B08"/>
    <w:rsid w:val="00247517"/>
    <w:rsid w:val="00270C76"/>
    <w:rsid w:val="00295F66"/>
    <w:rsid w:val="002E2339"/>
    <w:rsid w:val="002F5CCA"/>
    <w:rsid w:val="00317A24"/>
    <w:rsid w:val="00331542"/>
    <w:rsid w:val="00363579"/>
    <w:rsid w:val="00365494"/>
    <w:rsid w:val="00373E47"/>
    <w:rsid w:val="0038133E"/>
    <w:rsid w:val="003C2411"/>
    <w:rsid w:val="003C4257"/>
    <w:rsid w:val="003C4D71"/>
    <w:rsid w:val="003D0D9D"/>
    <w:rsid w:val="003D36CF"/>
    <w:rsid w:val="003D6545"/>
    <w:rsid w:val="003D7551"/>
    <w:rsid w:val="003D7BD4"/>
    <w:rsid w:val="003F7B15"/>
    <w:rsid w:val="004831A5"/>
    <w:rsid w:val="00493803"/>
    <w:rsid w:val="004A0B66"/>
    <w:rsid w:val="004A6F0C"/>
    <w:rsid w:val="005344A4"/>
    <w:rsid w:val="00541D2A"/>
    <w:rsid w:val="00547CB4"/>
    <w:rsid w:val="0055051D"/>
    <w:rsid w:val="00567D7B"/>
    <w:rsid w:val="00572C33"/>
    <w:rsid w:val="00573104"/>
    <w:rsid w:val="005810B4"/>
    <w:rsid w:val="00585CF9"/>
    <w:rsid w:val="00595D86"/>
    <w:rsid w:val="005B10BC"/>
    <w:rsid w:val="005C628A"/>
    <w:rsid w:val="005E646F"/>
    <w:rsid w:val="005F2366"/>
    <w:rsid w:val="00611CB1"/>
    <w:rsid w:val="00624117"/>
    <w:rsid w:val="00644BBC"/>
    <w:rsid w:val="00693512"/>
    <w:rsid w:val="006A4CDC"/>
    <w:rsid w:val="006A7D55"/>
    <w:rsid w:val="006B1F35"/>
    <w:rsid w:val="006C1C53"/>
    <w:rsid w:val="006D0DFA"/>
    <w:rsid w:val="006E464D"/>
    <w:rsid w:val="006F2924"/>
    <w:rsid w:val="007303DB"/>
    <w:rsid w:val="0075574A"/>
    <w:rsid w:val="007632A2"/>
    <w:rsid w:val="00770E41"/>
    <w:rsid w:val="00776360"/>
    <w:rsid w:val="007922BF"/>
    <w:rsid w:val="00795E03"/>
    <w:rsid w:val="007C7FC5"/>
    <w:rsid w:val="007E323E"/>
    <w:rsid w:val="008161B2"/>
    <w:rsid w:val="00816F30"/>
    <w:rsid w:val="0083796F"/>
    <w:rsid w:val="00837FC7"/>
    <w:rsid w:val="008938A1"/>
    <w:rsid w:val="008A4B34"/>
    <w:rsid w:val="008C4C84"/>
    <w:rsid w:val="008D5886"/>
    <w:rsid w:val="008D5FA5"/>
    <w:rsid w:val="008D6A00"/>
    <w:rsid w:val="009233BC"/>
    <w:rsid w:val="00926264"/>
    <w:rsid w:val="009322A1"/>
    <w:rsid w:val="00942DA4"/>
    <w:rsid w:val="00946A1E"/>
    <w:rsid w:val="009709DF"/>
    <w:rsid w:val="009A13F0"/>
    <w:rsid w:val="009B3550"/>
    <w:rsid w:val="009D7F5E"/>
    <w:rsid w:val="00A029AC"/>
    <w:rsid w:val="00A06F9F"/>
    <w:rsid w:val="00A12C9D"/>
    <w:rsid w:val="00A15392"/>
    <w:rsid w:val="00A551B3"/>
    <w:rsid w:val="00A6603B"/>
    <w:rsid w:val="00A7185B"/>
    <w:rsid w:val="00A767FC"/>
    <w:rsid w:val="00A7710C"/>
    <w:rsid w:val="00A818EE"/>
    <w:rsid w:val="00A845DC"/>
    <w:rsid w:val="00AC19D3"/>
    <w:rsid w:val="00AD3B7C"/>
    <w:rsid w:val="00AD7D1F"/>
    <w:rsid w:val="00AE37B9"/>
    <w:rsid w:val="00AE68E5"/>
    <w:rsid w:val="00B03EE6"/>
    <w:rsid w:val="00B23BBE"/>
    <w:rsid w:val="00B466DD"/>
    <w:rsid w:val="00B47A0E"/>
    <w:rsid w:val="00B5389F"/>
    <w:rsid w:val="00B93B31"/>
    <w:rsid w:val="00BA0CC8"/>
    <w:rsid w:val="00BA19C9"/>
    <w:rsid w:val="00BA5852"/>
    <w:rsid w:val="00BC6CCE"/>
    <w:rsid w:val="00BD18E0"/>
    <w:rsid w:val="00BD291B"/>
    <w:rsid w:val="00BD2937"/>
    <w:rsid w:val="00C03D83"/>
    <w:rsid w:val="00C13330"/>
    <w:rsid w:val="00C40020"/>
    <w:rsid w:val="00C4316F"/>
    <w:rsid w:val="00C5224D"/>
    <w:rsid w:val="00C532CE"/>
    <w:rsid w:val="00C57B6A"/>
    <w:rsid w:val="00C64BEE"/>
    <w:rsid w:val="00C84285"/>
    <w:rsid w:val="00CC646C"/>
    <w:rsid w:val="00CD7C5E"/>
    <w:rsid w:val="00D056AB"/>
    <w:rsid w:val="00D10185"/>
    <w:rsid w:val="00D25B38"/>
    <w:rsid w:val="00D3506D"/>
    <w:rsid w:val="00D62C8B"/>
    <w:rsid w:val="00D6703E"/>
    <w:rsid w:val="00D76509"/>
    <w:rsid w:val="00D85C6D"/>
    <w:rsid w:val="00D90D7E"/>
    <w:rsid w:val="00DC1C33"/>
    <w:rsid w:val="00DC6FB7"/>
    <w:rsid w:val="00DF29A8"/>
    <w:rsid w:val="00E133B8"/>
    <w:rsid w:val="00E2386D"/>
    <w:rsid w:val="00E4640F"/>
    <w:rsid w:val="00E57320"/>
    <w:rsid w:val="00EB031F"/>
    <w:rsid w:val="00EB1B1C"/>
    <w:rsid w:val="00EB2F2A"/>
    <w:rsid w:val="00EB5DA1"/>
    <w:rsid w:val="00EC1299"/>
    <w:rsid w:val="00EE3DBB"/>
    <w:rsid w:val="00F25C26"/>
    <w:rsid w:val="00F63A55"/>
    <w:rsid w:val="00F91D15"/>
    <w:rsid w:val="00FA6FB5"/>
    <w:rsid w:val="00FA7012"/>
    <w:rsid w:val="00FB256E"/>
    <w:rsid w:val="00FB70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57A40F"/>
  <w14:defaultImageDpi w14:val="0"/>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unhideWhenUsed="1" w:qFormat="1"/>
    <w:lsdException w:name="heading 4" w:locked="1" w:unhideWhenUsed="1" w:qFormat="1"/>
    <w:lsdException w:name="heading 5" w:locked="1" w:unhideWhenUsed="1" w:qFormat="1"/>
    <w:lsdException w:name="heading 6" w:locked="1" w:unhideWhenUsed="1" w:qFormat="1"/>
    <w:lsdException w:name="heading 7" w:locked="1" w:unhideWhenUsed="1" w:qFormat="1"/>
    <w:lsdException w:name="heading 8" w:locked="1" w:unhideWhenUsed="1" w:qFormat="1"/>
    <w:lsdException w:name="heading 9" w:locked="1"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link w:val="Heading1Char"/>
    <w:qFormat/>
    <w:rsid w:val="00BD18E0"/>
    <w:pPr>
      <w:numPr>
        <w:numId w:val="5"/>
      </w:numPr>
      <w:pBdr>
        <w:bottom w:val="single" w:sz="4" w:space="1" w:color="000000" w:themeColor="text1"/>
      </w:pBdr>
      <w:spacing w:before="240" w:after="120"/>
      <w:outlineLvl w:val="0"/>
    </w:pPr>
    <w:rPr>
      <w:rFonts w:ascii="Cambria" w:hAnsi="Cambria" w:cs="Tahoma"/>
      <w:b/>
      <w:bCs/>
      <w:kern w:val="28"/>
      <w:sz w:val="24"/>
      <w:szCs w:val="24"/>
    </w:rPr>
  </w:style>
  <w:style w:type="paragraph" w:styleId="Heading2">
    <w:name w:val="heading 2"/>
    <w:basedOn w:val="Normal"/>
    <w:link w:val="Heading2Char"/>
    <w:qFormat/>
    <w:rsid w:val="00BD18E0"/>
    <w:pPr>
      <w:numPr>
        <w:ilvl w:val="1"/>
        <w:numId w:val="5"/>
      </w:numPr>
      <w:spacing w:before="120" w:after="120"/>
      <w:outlineLvl w:val="1"/>
    </w:pPr>
    <w:rPr>
      <w:rFonts w:ascii="Cambria" w:hAnsi="Cambria" w:cs="Tahoma"/>
      <w:sz w:val="24"/>
      <w:szCs w:val="24"/>
    </w:rPr>
  </w:style>
  <w:style w:type="paragraph" w:styleId="Heading3">
    <w:name w:val="heading 3"/>
    <w:basedOn w:val="Normal"/>
    <w:link w:val="Heading3Char"/>
    <w:qFormat/>
    <w:rsid w:val="00BD18E0"/>
    <w:pPr>
      <w:numPr>
        <w:ilvl w:val="2"/>
        <w:numId w:val="5"/>
      </w:numPr>
      <w:tabs>
        <w:tab w:val="left" w:pos="2430"/>
      </w:tabs>
      <w:spacing w:before="120" w:after="120"/>
      <w:outlineLvl w:val="2"/>
    </w:pPr>
    <w:rPr>
      <w:rFonts w:ascii="Cambria" w:hAnsi="Cambria" w:cs="Tahoma"/>
      <w:sz w:val="24"/>
      <w:szCs w:val="24"/>
    </w:rPr>
  </w:style>
  <w:style w:type="paragraph" w:styleId="Heading4">
    <w:name w:val="heading 4"/>
    <w:basedOn w:val="Normal"/>
    <w:link w:val="Heading4Char"/>
    <w:qFormat/>
    <w:rsid w:val="00BD18E0"/>
    <w:pPr>
      <w:numPr>
        <w:ilvl w:val="3"/>
        <w:numId w:val="5"/>
      </w:numPr>
      <w:tabs>
        <w:tab w:val="left" w:pos="3240"/>
      </w:tabs>
      <w:spacing w:before="120" w:after="120"/>
      <w:outlineLvl w:val="3"/>
    </w:pPr>
    <w:rPr>
      <w:rFonts w:ascii="Cambria" w:hAnsi="Cambria"/>
      <w:sz w:val="24"/>
      <w:szCs w:val="22"/>
    </w:rPr>
  </w:style>
  <w:style w:type="paragraph" w:styleId="Heading5">
    <w:name w:val="heading 5"/>
    <w:basedOn w:val="Normal"/>
    <w:link w:val="Heading5Char"/>
    <w:qFormat/>
    <w:rsid w:val="00BD18E0"/>
    <w:pPr>
      <w:numPr>
        <w:ilvl w:val="4"/>
        <w:numId w:val="5"/>
      </w:numPr>
      <w:spacing w:before="120" w:after="120"/>
      <w:outlineLvl w:val="4"/>
    </w:pPr>
    <w:rPr>
      <w:rFonts w:ascii="Cambria" w:hAnsi="Cambria"/>
      <w:sz w:val="24"/>
    </w:rPr>
  </w:style>
  <w:style w:type="paragraph" w:styleId="Heading6">
    <w:name w:val="heading 6"/>
    <w:basedOn w:val="Normal"/>
    <w:link w:val="Heading6Char"/>
    <w:qFormat/>
    <w:rsid w:val="00BD18E0"/>
    <w:pPr>
      <w:numPr>
        <w:ilvl w:val="5"/>
        <w:numId w:val="5"/>
      </w:numPr>
      <w:spacing w:before="120" w:after="120"/>
      <w:outlineLvl w:val="5"/>
    </w:pPr>
    <w:rPr>
      <w:rFonts w:ascii="Cambria" w:hAnsi="Cambria"/>
      <w:sz w:val="24"/>
    </w:rPr>
  </w:style>
  <w:style w:type="paragraph" w:styleId="Heading7">
    <w:name w:val="heading 7"/>
    <w:basedOn w:val="Normal"/>
    <w:next w:val="Normal"/>
    <w:link w:val="Heading7Char"/>
    <w:qFormat/>
    <w:rsid w:val="00BD18E0"/>
    <w:pPr>
      <w:numPr>
        <w:ilvl w:val="6"/>
        <w:numId w:val="5"/>
      </w:numPr>
      <w:spacing w:before="240" w:after="60"/>
      <w:outlineLvl w:val="6"/>
    </w:pPr>
    <w:rPr>
      <w:rFonts w:ascii="Arial" w:hAnsi="Arial"/>
    </w:rPr>
  </w:style>
  <w:style w:type="paragraph" w:styleId="Heading8">
    <w:name w:val="heading 8"/>
    <w:basedOn w:val="Normal"/>
    <w:next w:val="Normal"/>
    <w:link w:val="Heading8Char"/>
    <w:qFormat/>
    <w:rsid w:val="00BD18E0"/>
    <w:pPr>
      <w:numPr>
        <w:ilvl w:val="7"/>
        <w:numId w:val="5"/>
      </w:numPr>
      <w:spacing w:before="240" w:after="60"/>
      <w:outlineLvl w:val="7"/>
    </w:pPr>
    <w:rPr>
      <w:rFonts w:ascii="Arial" w:hAnsi="Arial"/>
      <w:i/>
    </w:rPr>
  </w:style>
  <w:style w:type="paragraph" w:styleId="Heading9">
    <w:name w:val="heading 9"/>
    <w:basedOn w:val="Normal"/>
    <w:next w:val="Normal"/>
    <w:link w:val="Heading9Char"/>
    <w:qFormat/>
    <w:rsid w:val="00BD18E0"/>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locked/>
    <w:rsid w:val="00BD18E0"/>
    <w:rPr>
      <w:rFonts w:ascii="Cambria" w:hAnsi="Cambria" w:cs="Tahoma"/>
      <w:sz w:val="24"/>
      <w:szCs w:val="24"/>
    </w:rPr>
  </w:style>
  <w:style w:type="character" w:customStyle="1" w:styleId="Heading3Char">
    <w:name w:val="Heading 3 Char"/>
    <w:basedOn w:val="DefaultParagraphFont"/>
    <w:link w:val="Heading3"/>
    <w:locked/>
    <w:rsid w:val="00BD18E0"/>
    <w:rPr>
      <w:rFonts w:ascii="Cambria" w:hAnsi="Cambria" w:cs="Tahoma"/>
      <w:sz w:val="24"/>
      <w:szCs w:val="24"/>
    </w:rPr>
  </w:style>
  <w:style w:type="character" w:customStyle="1" w:styleId="Heading4Char">
    <w:name w:val="Heading 4 Char"/>
    <w:basedOn w:val="DefaultParagraphFont"/>
    <w:link w:val="Heading4"/>
    <w:rsid w:val="00BD18E0"/>
    <w:rPr>
      <w:rFonts w:ascii="Cambria" w:hAnsi="Cambria"/>
      <w:sz w:val="24"/>
      <w:szCs w:val="22"/>
    </w:rPr>
  </w:style>
  <w:style w:type="character" w:customStyle="1" w:styleId="Heading5Char">
    <w:name w:val="Heading 5 Char"/>
    <w:basedOn w:val="DefaultParagraphFont"/>
    <w:link w:val="Heading5"/>
    <w:rsid w:val="00BD18E0"/>
    <w:rPr>
      <w:rFonts w:ascii="Cambria" w:hAnsi="Cambria"/>
      <w:sz w:val="24"/>
    </w:rPr>
  </w:style>
  <w:style w:type="character" w:customStyle="1" w:styleId="Heading6Char">
    <w:name w:val="Heading 6 Char"/>
    <w:basedOn w:val="DefaultParagraphFont"/>
    <w:link w:val="Heading6"/>
    <w:rsid w:val="00BD18E0"/>
    <w:rPr>
      <w:rFonts w:ascii="Cambria" w:hAnsi="Cambria"/>
      <w:sz w:val="24"/>
    </w:rPr>
  </w:style>
  <w:style w:type="character" w:customStyle="1" w:styleId="Heading7Char">
    <w:name w:val="Heading 7 Char"/>
    <w:basedOn w:val="DefaultParagraphFont"/>
    <w:link w:val="Heading7"/>
    <w:uiPriority w:val="9"/>
    <w:semiHidden/>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locked/>
    <w:rPr>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uiPriority w:val="99"/>
    <w:semiHidden/>
  </w:style>
  <w:style w:type="character" w:styleId="PageNumber">
    <w:name w:val="page number"/>
    <w:basedOn w:val="DefaultParagraphFont"/>
  </w:style>
  <w:style w:type="paragraph" w:styleId="BodyTextIndent">
    <w:name w:val="Body Text Indent"/>
    <w:basedOn w:val="Normal"/>
    <w:link w:val="BodyTextIndentChar"/>
    <w:uiPriority w:val="99"/>
    <w:pPr>
      <w:ind w:left="1440"/>
    </w:pPr>
    <w:rPr>
      <w:sz w:val="24"/>
    </w:rPr>
  </w:style>
  <w:style w:type="character" w:customStyle="1" w:styleId="BodyTextIndentChar">
    <w:name w:val="Body Text Indent Char"/>
    <w:basedOn w:val="DefaultParagraphFont"/>
    <w:link w:val="BodyTextIndent"/>
    <w:uiPriority w:val="99"/>
    <w:semiHidden/>
  </w:style>
  <w:style w:type="paragraph" w:styleId="BodyTextIndent2">
    <w:name w:val="Body Text Indent 2"/>
    <w:basedOn w:val="Normal"/>
    <w:link w:val="BodyTextIndent2Char"/>
    <w:uiPriority w:val="99"/>
    <w:pPr>
      <w:ind w:left="720"/>
    </w:pPr>
    <w:rPr>
      <w:sz w:val="24"/>
    </w:r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pPr>
      <w:ind w:left="2340"/>
    </w:pPr>
    <w:rPr>
      <w:sz w:val="24"/>
    </w:rPr>
  </w:style>
  <w:style w:type="character" w:customStyle="1" w:styleId="BodyTextIndent3Char">
    <w:name w:val="Body Text Indent 3 Char"/>
    <w:basedOn w:val="DefaultParagraphFont"/>
    <w:link w:val="BodyTextIndent3"/>
    <w:uiPriority w:val="99"/>
    <w:semiHidden/>
    <w:rPr>
      <w:sz w:val="16"/>
      <w:szCs w:val="16"/>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Hyperlink">
    <w:name w:val="Hyperlink"/>
    <w:basedOn w:val="DefaultParagraphFont"/>
    <w:uiPriority w:val="99"/>
    <w:rPr>
      <w:color w:val="0000FF"/>
      <w:u w:val="single"/>
    </w:rPr>
  </w:style>
  <w:style w:type="paragraph" w:customStyle="1" w:styleId="xl24">
    <w:name w:val="xl24"/>
    <w:basedOn w:val="Normal"/>
    <w:pPr>
      <w:spacing w:before="100" w:beforeAutospacing="1" w:after="100" w:afterAutospacing="1"/>
      <w:jc w:val="center"/>
    </w:pPr>
    <w:rPr>
      <w:sz w:val="24"/>
      <w:szCs w:val="24"/>
    </w:rPr>
  </w:style>
  <w:style w:type="paragraph" w:customStyle="1" w:styleId="xl25">
    <w:name w:val="xl2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pPr>
      <w:spacing w:before="100" w:beforeAutospacing="1" w:after="100" w:afterAutospacing="1"/>
      <w:jc w:val="center"/>
      <w:textAlignment w:val="center"/>
    </w:pPr>
    <w:rPr>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Pr>
      <w:kern w:val="28"/>
      <w:sz w:val="28"/>
    </w:rPr>
  </w:style>
  <w:style w:type="paragraph" w:customStyle="1" w:styleId="Level3">
    <w:name w:val="Level 3"/>
    <w:basedOn w:val="Heading2"/>
    <w:rPr>
      <w:b/>
      <w:bCs/>
    </w:rPr>
  </w:style>
  <w:style w:type="paragraph" w:customStyle="1" w:styleId="level2">
    <w:name w:val="level 2"/>
    <w:basedOn w:val="Level1"/>
    <w:rPr>
      <w:b/>
      <w:bCs/>
      <w:sz w:val="24"/>
    </w:rPr>
  </w:style>
  <w:style w:type="character" w:styleId="FollowedHyperlink">
    <w:name w:val="FollowedHyperlink"/>
    <w:basedOn w:val="DefaultParagraphFont"/>
    <w:uiPriority w:val="99"/>
    <w:rPr>
      <w:color w:val="800080"/>
      <w:u w:val="single"/>
    </w:rPr>
  </w:style>
  <w:style w:type="paragraph" w:customStyle="1" w:styleId="level4">
    <w:name w:val="level 4"/>
    <w:basedOn w:val="Level3"/>
    <w:pPr>
      <w:numPr>
        <w:ilvl w:val="0"/>
        <w:numId w:val="2"/>
      </w:numPr>
    </w:pPr>
  </w:style>
  <w:style w:type="paragraph" w:customStyle="1" w:styleId="LEVELM5">
    <w:name w:val="LEVEL M5"/>
    <w:basedOn w:val="level4"/>
    <w:pPr>
      <w:numPr>
        <w:numId w:val="0"/>
      </w:numPr>
      <w:tabs>
        <w:tab w:val="num" w:pos="2880"/>
      </w:tabs>
    </w:pPr>
  </w:style>
  <w:style w:type="paragraph" w:customStyle="1" w:styleId="level5">
    <w:name w:val="level 5"/>
    <w:basedOn w:val="level4"/>
    <w:pPr>
      <w:numPr>
        <w:numId w:val="3"/>
      </w:numPr>
      <w:tabs>
        <w:tab w:val="left" w:pos="3240"/>
      </w:tabs>
    </w:pPr>
  </w:style>
  <w:style w:type="paragraph" w:styleId="NormalIndent">
    <w:name w:val="Normal Indent"/>
    <w:basedOn w:val="Normal"/>
    <w:uiPriority w:val="99"/>
    <w:pPr>
      <w:ind w:left="720"/>
    </w:pPr>
    <w:rPr>
      <w:sz w:val="24"/>
    </w:rPr>
  </w:style>
  <w:style w:type="paragraph" w:customStyle="1" w:styleId="StyleHeading3Before0ptAfter0pt">
    <w:name w:val="Style Heading 3 + Before:  0 pt After:  0 pt"/>
    <w:basedOn w:val="Heading3"/>
  </w:style>
  <w:style w:type="paragraph" w:customStyle="1" w:styleId="Heading1body">
    <w:name w:val="Heading 1 body"/>
    <w:basedOn w:val="Heading1"/>
    <w:pPr>
      <w:numPr>
        <w:numId w:val="0"/>
      </w:numPr>
      <w:tabs>
        <w:tab w:val="left" w:pos="360"/>
      </w:tabs>
      <w:ind w:left="360"/>
    </w:pPr>
    <w:rPr>
      <w:b w:val="0"/>
      <w:caps/>
      <w:kern w:val="0"/>
    </w:rPr>
  </w:style>
  <w:style w:type="character" w:customStyle="1" w:styleId="Heading1bodyChar">
    <w:name w:val="Heading 1 body Char"/>
    <w:basedOn w:val="DefaultParagraphFont"/>
    <w:rPr>
      <w:rFonts w:ascii="Century Gothic" w:hAnsi="Century Gothic" w:cs="Times New Roman"/>
      <w:b/>
      <w:caps/>
      <w:kern w:val="28"/>
      <w:lang w:val="en-US" w:eastAsia="en-US" w:bidi="ar-SA"/>
    </w:rPr>
  </w:style>
  <w:style w:type="paragraph" w:customStyle="1" w:styleId="Heading2body">
    <w:name w:val="Heading 2 body"/>
    <w:basedOn w:val="Heading2"/>
    <w:pPr>
      <w:numPr>
        <w:ilvl w:val="0"/>
        <w:numId w:val="0"/>
      </w:numPr>
      <w:tabs>
        <w:tab w:val="left" w:pos="1080"/>
      </w:tabs>
      <w:ind w:left="792"/>
    </w:pPr>
  </w:style>
  <w:style w:type="paragraph" w:customStyle="1" w:styleId="Heading3body">
    <w:name w:val="Heading 3 body"/>
    <w:basedOn w:val="Heading3"/>
    <w:pPr>
      <w:numPr>
        <w:ilvl w:val="0"/>
        <w:numId w:val="0"/>
      </w:numPr>
      <w:tabs>
        <w:tab w:val="left" w:pos="2088"/>
      </w:tabs>
      <w:ind w:left="1440"/>
    </w:pPr>
  </w:style>
  <w:style w:type="paragraph" w:customStyle="1" w:styleId="Heading4body">
    <w:name w:val="Heading 4 body"/>
    <w:basedOn w:val="Heading4"/>
    <w:pPr>
      <w:numPr>
        <w:ilvl w:val="0"/>
        <w:numId w:val="0"/>
      </w:numPr>
      <w:ind w:left="2232"/>
    </w:pPr>
  </w:style>
  <w:style w:type="paragraph" w:customStyle="1" w:styleId="Heading5body">
    <w:name w:val="Heading 5 body"/>
    <w:basedOn w:val="Heading5"/>
    <w:pPr>
      <w:numPr>
        <w:ilvl w:val="0"/>
        <w:numId w:val="0"/>
      </w:numPr>
      <w:ind w:left="3168"/>
    </w:pPr>
  </w:style>
  <w:style w:type="paragraph" w:customStyle="1" w:styleId="Heading6body">
    <w:name w:val="Heading 6 body"/>
    <w:basedOn w:val="Heading6"/>
    <w:pPr>
      <w:numPr>
        <w:ilvl w:val="0"/>
        <w:numId w:val="0"/>
      </w:numPr>
      <w:ind w:left="4248"/>
    </w:pPr>
  </w:style>
  <w:style w:type="paragraph" w:customStyle="1" w:styleId="Footnote">
    <w:name w:val="Footnote"/>
    <w:basedOn w:val="Normal"/>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Pr>
      <w:rFonts w:ascii="Century Gothic" w:hAnsi="Century Gothic"/>
    </w:rPr>
  </w:style>
  <w:style w:type="paragraph" w:customStyle="1" w:styleId="Level1Text">
    <w:name w:val="Level1_Text"/>
    <w:basedOn w:val="Normal"/>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pPr>
      <w:spacing w:before="240" w:after="60"/>
    </w:p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character" w:styleId="CommentReference">
    <w:name w:val="annotation reference"/>
    <w:basedOn w:val="DefaultParagraphFont"/>
    <w:uiPriority w:val="99"/>
    <w:semiHidden/>
    <w:rPr>
      <w:sz w:val="18"/>
    </w:rPr>
  </w:style>
  <w:style w:type="paragraph" w:styleId="CommentText">
    <w:name w:val="annotation text"/>
    <w:basedOn w:val="Normal"/>
    <w:link w:val="CommentTextChar"/>
    <w:uiPriority w:val="99"/>
    <w:semiHidden/>
    <w:rPr>
      <w:sz w:val="24"/>
      <w:szCs w:val="24"/>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rPr>
      <w:sz w:val="20"/>
      <w:szCs w:val="20"/>
    </w:rPr>
  </w:style>
  <w:style w:type="character" w:customStyle="1" w:styleId="CommentSubjectChar">
    <w:name w:val="Comment Subject Char"/>
    <w:basedOn w:val="CommentTextChar"/>
    <w:link w:val="CommentSubject"/>
    <w:uiPriority w:val="99"/>
    <w:semiHidden/>
    <w:rPr>
      <w:b/>
      <w:bCs/>
    </w:rPr>
  </w:style>
  <w:style w:type="paragraph" w:customStyle="1" w:styleId="ColorfulShading-Accent11">
    <w:name w:val="Colorful Shading - Accent 11"/>
    <w:hidden/>
    <w:semiHidden/>
  </w:style>
  <w:style w:type="character" w:styleId="Strong">
    <w:name w:val="Strong"/>
    <w:basedOn w:val="DefaultParagraphFont"/>
    <w:uiPriority w:val="22"/>
    <w:qFormat/>
    <w:rPr>
      <w:b/>
    </w:rPr>
  </w:style>
  <w:style w:type="paragraph" w:customStyle="1" w:styleId="Heading3n">
    <w:name w:val="Heading 3n"/>
    <w:basedOn w:val="Heading3"/>
    <w:link w:val="Heading3nChar"/>
    <w:rPr>
      <w:rFonts w:ascii="Century Gothic" w:hAnsi="Century Gothic"/>
    </w:rPr>
  </w:style>
  <w:style w:type="paragraph" w:styleId="ListBullet">
    <w:name w:val="List Bullet"/>
    <w:basedOn w:val="Normal"/>
    <w:pPr>
      <w:numPr>
        <w:numId w:val="6"/>
      </w:numPr>
      <w:contextualSpacing/>
    </w:pPr>
  </w:style>
  <w:style w:type="character" w:customStyle="1" w:styleId="Heading3nChar">
    <w:name w:val="Heading 3n Char"/>
    <w:link w:val="Heading3n"/>
    <w:locked/>
    <w:rPr>
      <w:rFonts w:ascii="Century Gothic" w:hAnsi="Century Gothic"/>
      <w:sz w:val="22"/>
      <w:lang w:val="x-none" w:eastAsia="x-none"/>
    </w:rPr>
  </w:style>
  <w:style w:type="paragraph" w:customStyle="1" w:styleId="Heading2N">
    <w:name w:val="Heading 2N"/>
    <w:basedOn w:val="StyleHeading2Before12ptAfter3pt"/>
    <w:link w:val="Heading2NChar"/>
    <w:pPr>
      <w:spacing w:before="120" w:after="240"/>
    </w:pPr>
  </w:style>
  <w:style w:type="character" w:customStyle="1" w:styleId="StyleHeading2Before12ptAfter3ptChar">
    <w:name w:val="Style Heading 2 + Before:  12 pt After:  3 pt Char"/>
    <w:basedOn w:val="Heading2Char"/>
    <w:link w:val="StyleHeading2Before12ptAfter3pt"/>
    <w:locked/>
    <w:rPr>
      <w:rFonts w:ascii="Verdana" w:hAnsi="Verdana" w:cs="Arial"/>
      <w:sz w:val="22"/>
      <w:szCs w:val="22"/>
      <w:lang w:val="x-none" w:eastAsia="x-none"/>
    </w:rPr>
  </w:style>
  <w:style w:type="character" w:customStyle="1" w:styleId="Heading2NChar">
    <w:name w:val="Heading 2N Char"/>
    <w:link w:val="Heading2N"/>
    <w:locked/>
    <w:rPr>
      <w:rFonts w:ascii="Arial" w:hAnsi="Arial"/>
      <w:sz w:val="22"/>
      <w:lang w:val="x-none" w:eastAsia="x-none"/>
    </w:rPr>
  </w:style>
  <w:style w:type="paragraph" w:styleId="ListParagraph">
    <w:name w:val="List Paragraph"/>
    <w:basedOn w:val="Normal"/>
    <w:uiPriority w:val="34"/>
    <w:qFormat/>
    <w:pPr>
      <w:ind w:left="720"/>
      <w:contextualSpacing/>
    </w:pPr>
    <w:rPr>
      <w:rFonts w:ascii="Arial" w:hAnsi="Arial"/>
      <w:sz w:val="22"/>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locked/>
    <w:rsid w:val="00D056AB"/>
    <w:rPr>
      <w:rFonts w:ascii="Cambria" w:hAnsi="Cambria" w:cs="Tahoma"/>
      <w:b/>
      <w:bCs/>
      <w:kern w:val="2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131220">
      <w:marLeft w:val="0"/>
      <w:marRight w:val="0"/>
      <w:marTop w:val="0"/>
      <w:marBottom w:val="0"/>
      <w:divBdr>
        <w:top w:val="none" w:sz="0" w:space="0" w:color="auto"/>
        <w:left w:val="none" w:sz="0" w:space="0" w:color="auto"/>
        <w:bottom w:val="none" w:sz="0" w:space="0" w:color="auto"/>
        <w:right w:val="none" w:sz="0" w:space="0" w:color="auto"/>
      </w:divBdr>
      <w:divsChild>
        <w:div w:id="50313122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531EF-C225-5849-9246-C6A07D02B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1182</Words>
  <Characters>6741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Design Input / Output Matrix Template</vt:lpstr>
    </vt:vector>
  </TitlesOfParts>
  <Manager/>
  <Company/>
  <LinksUpToDate>false</LinksUpToDate>
  <CharactersWithSpaces>7908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Input / Output Matrix Template</dc:title>
  <dc:subject/>
  <dc:creator>Bryan</dc:creator>
  <cp:keywords/>
  <dc:description/>
  <cp:lastModifiedBy>Ethan Rao</cp:lastModifiedBy>
  <cp:revision>18</cp:revision>
  <cp:lastPrinted>2018-06-01T02:28:00Z</cp:lastPrinted>
  <dcterms:created xsi:type="dcterms:W3CDTF">2026-04-23T17:57:00Z</dcterms:created>
  <dcterms:modified xsi:type="dcterms:W3CDTF">2026-04-23T18:11:00Z</dcterms:modified>
  <cp:category/>
</cp:coreProperties>
</file>