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16D669AB" w14:textId="226D51CA" w:rsidR="00E731BC" w:rsidRDefault="00E731BC" w:rsidP="00DE5FD7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魔力棒球</w:t>
      </w:r>
    </w:p>
    <w:p w14:paraId="75962BA3" w14:textId="78CACAE3" w:rsidR="007C46B3" w:rsidRPr="00DE5FD7" w:rsidRDefault="002412C3" w:rsidP="00DE5FD7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DE5FD7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與本主題有關的數學</w:t>
      </w:r>
    </w:p>
    <w:p w14:paraId="3479F761" w14:textId="47F566E1" w:rsidR="007C46B3" w:rsidRPr="00DE5FD7" w:rsidRDefault="00BC20F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proofErr w:type="gramStart"/>
      <w:r w:rsidRPr="00DE5FD7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一</w:t>
      </w:r>
      <w:proofErr w:type="gramEnd"/>
      <w:r w:rsidRPr="00DE5FD7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.</w:t>
      </w:r>
      <w:r w:rsidR="002412C3" w:rsidRPr="00DE5FD7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白努力定律</w:t>
      </w:r>
    </w:p>
    <w:p w14:paraId="7D79F5F3" w14:textId="6EB011D3" w:rsidR="00C6165C" w:rsidRPr="00DE5FD7" w:rsidRDefault="002412C3" w:rsidP="00DE5FD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DE5FD7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四個前提假設</w:t>
      </w:r>
    </w:p>
    <w:p w14:paraId="72CED8AF" w14:textId="42B56805" w:rsidR="007C46B3" w:rsidRPr="00DE5FD7" w:rsidRDefault="002412C3" w:rsidP="00DE5FD7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定常流動(s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teady flow):</w:t>
      </w:r>
      <w:r w:rsidRPr="00DE5FD7">
        <w:rPr>
          <w:rFonts w:hint="eastAsia"/>
          <w:b/>
          <w:bCs/>
        </w:rPr>
        <w:t xml:space="preserve"> 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在流動系統中，流體在任何一點之性質不隨時間改變</w:t>
      </w:r>
    </w:p>
    <w:p w14:paraId="6715D773" w14:textId="47FFE254" w:rsidR="00C6165C" w:rsidRPr="00DE5FD7" w:rsidRDefault="002412C3" w:rsidP="00DE5FD7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不可壓縮流（Incompressible flow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）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:</w:t>
      </w:r>
      <w:r w:rsidRPr="00DE5FD7">
        <w:rPr>
          <w:rFonts w:hint="eastAsia"/>
          <w:b/>
          <w:bCs/>
        </w:rPr>
        <w:t xml:space="preserve"> 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密度為常數，在流體為氣體適用於馬赫數M小於0.3的情況。</w:t>
      </w:r>
    </w:p>
    <w:p w14:paraId="1BD7C539" w14:textId="489C2B56" w:rsidR="002412C3" w:rsidRPr="00DE5FD7" w:rsidRDefault="002412C3" w:rsidP="00DE5FD7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無摩擦流（</w:t>
      </w:r>
      <w:proofErr w:type="spellStart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Frictionsless</w:t>
      </w:r>
      <w:proofErr w:type="spellEnd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 flow）:</w:t>
      </w:r>
      <w:r w:rsidRPr="00DE5FD7">
        <w:rPr>
          <w:rFonts w:hint="eastAsia"/>
          <w:b/>
          <w:bCs/>
        </w:rPr>
        <w:t xml:space="preserve"> 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摩擦效應可忽略，忽略</w:t>
      </w:r>
      <w:proofErr w:type="gramStart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黏滯性</w:t>
      </w:r>
      <w:proofErr w:type="gramEnd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效應。</w:t>
      </w:r>
    </w:p>
    <w:p w14:paraId="3623C9F9" w14:textId="4683EBDA" w:rsidR="002412C3" w:rsidRPr="00DE5FD7" w:rsidRDefault="002412C3" w:rsidP="00DE5FD7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流體沿著流線流動（Flow along a streamline）:</w:t>
      </w:r>
      <w:r w:rsidRPr="00DE5FD7">
        <w:rPr>
          <w:rFonts w:hint="eastAsia"/>
          <w:b/>
          <w:bCs/>
        </w:rPr>
        <w:t xml:space="preserve"> 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流體元素（element）沿著流線而流動，流線間彼此是不相交的。</w:t>
      </w:r>
    </w:p>
    <w:p w14:paraId="26E5119A" w14:textId="7FC80C4B" w:rsidR="00627929" w:rsidRDefault="002412C3" w:rsidP="00DE5FD7">
      <w:pPr>
        <w:pStyle w:val="a3"/>
        <w:spacing w:line="300" w:lineRule="auto"/>
        <w:ind w:leftChars="0"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使用</w:t>
      </w:r>
      <w:proofErr w:type="gramStart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白努利定律</w:t>
      </w:r>
      <w:proofErr w:type="gramEnd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必須符合以上假設，方可使用；如沒完全符合以下假設，所求的解也是近似值。</w:t>
      </w:r>
    </w:p>
    <w:p w14:paraId="388C8B4A" w14:textId="75F24A20" w:rsidR="00EE28E7" w:rsidRPr="00DE5FD7" w:rsidRDefault="00EE28E7" w:rsidP="00DE5FD7">
      <w:pPr>
        <w:pStyle w:val="a3"/>
        <w:spacing w:line="300" w:lineRule="auto"/>
        <w:ind w:leftChars="0"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F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034C0" wp14:editId="43C44177">
                <wp:simplePos x="0" y="0"/>
                <wp:positionH relativeFrom="page">
                  <wp:align>left</wp:align>
                </wp:positionH>
                <wp:positionV relativeFrom="paragraph">
                  <wp:posOffset>238125</wp:posOffset>
                </wp:positionV>
                <wp:extent cx="7629525" cy="0"/>
                <wp:effectExtent l="0" t="38100" r="4762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920AC" id="直線接點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8.75pt" to="600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" strokecolor="yellow" strokeweight="6pt">
                <v:stroke joinstyle="miter"/>
                <w10:wrap anchorx="page"/>
              </v:line>
            </w:pict>
          </mc:Fallback>
        </mc:AlternateContent>
      </w:r>
    </w:p>
    <w:p w14:paraId="2408DBC3" w14:textId="2DECF150" w:rsidR="00795340" w:rsidRPr="00DE5FD7" w:rsidRDefault="002412C3" w:rsidP="00DE5FD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DE5FD7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公式</w:t>
      </w:r>
    </w:p>
    <w:bookmarkStart w:id="0" w:name="_Hlk57576948"/>
    <w:p w14:paraId="083BCE8D" w14:textId="72BBA5B1" w:rsidR="00795340" w:rsidRPr="00DE5FD7" w:rsidRDefault="00011A7C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  <w:r w:rsidR="00795340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+</w:t>
      </w: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ρgh</m:t>
        </m:r>
      </m:oMath>
      <w:r w:rsidR="00795340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+</w:t>
      </w:r>
      <w:r w:rsidR="00795340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p=constant</w:t>
      </w:r>
    </w:p>
    <w:bookmarkEnd w:id="0"/>
    <w:p w14:paraId="74BCBA14" w14:textId="77777777" w:rsidR="00795340" w:rsidRPr="00DE5FD7" w:rsidRDefault="00795340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lastRenderedPageBreak/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流體速度</w:t>
      </w:r>
    </w:p>
    <w:p w14:paraId="073B8A35" w14:textId="77777777" w:rsidR="00795340" w:rsidRPr="00DE5FD7" w:rsidRDefault="00795340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g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重力加速度</w:t>
      </w:r>
    </w:p>
    <w:p w14:paraId="1231B533" w14:textId="77777777" w:rsidR="00795340" w:rsidRPr="00DE5FD7" w:rsidRDefault="00795340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h=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流體處於的高度</w:t>
      </w:r>
    </w:p>
    <w:p w14:paraId="180123DF" w14:textId="0BEAAB34" w:rsidR="00795340" w:rsidRPr="00DE5FD7" w:rsidRDefault="00DE5FD7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r w:rsidR="00795340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=流體質量</w:t>
      </w:r>
      <w:hyperlink r:id="rId8" w:tooltip="密度" w:history="1">
        <w:r w:rsidR="00795340" w:rsidRPr="00DE5FD7">
          <w:rPr>
            <w:rStyle w:val="a8"/>
            <w:rFonts w:ascii="微軟正黑體" w:eastAsia="微軟正黑體" w:hAnsi="微軟正黑體"/>
            <w:b/>
            <w:bCs/>
            <w:color w:val="FFFFFF" w:themeColor="background1"/>
            <w:sz w:val="36"/>
            <w:szCs w:val="36"/>
            <w:u w:val="none"/>
          </w:rPr>
          <w:t>密度</w:t>
        </w:r>
      </w:hyperlink>
    </w:p>
    <w:p w14:paraId="7EC9DA48" w14:textId="77777777" w:rsidR="00795340" w:rsidRPr="00DE5FD7" w:rsidRDefault="00795340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p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流體所受的壓力強度</w:t>
      </w:r>
    </w:p>
    <w:p w14:paraId="0D9EB2ED" w14:textId="76DE0A1F" w:rsidR="00627929" w:rsidRPr="00DE5FD7" w:rsidRDefault="00795340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c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onstant=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常數</w:t>
      </w:r>
      <w:r w:rsidR="00627929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在</w:t>
      </w:r>
    </w:p>
    <w:p w14:paraId="4772558F" w14:textId="42A13E02" w:rsidR="00627929" w:rsidRDefault="00627929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流體動力學，</w:t>
      </w:r>
      <w:proofErr w:type="gramStart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白努利原理</w:t>
      </w:r>
      <w:proofErr w:type="gramEnd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指出，無黏性的流體的速度增加時，流體的壓力能或位能（位能）總和將減少。</w:t>
      </w:r>
    </w:p>
    <w:p w14:paraId="3ED4A12D" w14:textId="29E98AF7" w:rsidR="00EE28E7" w:rsidRPr="00DE5FD7" w:rsidRDefault="00EE28E7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F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4DF6C" wp14:editId="43F6B90D">
                <wp:simplePos x="0" y="0"/>
                <wp:positionH relativeFrom="page">
                  <wp:align>left</wp:align>
                </wp:positionH>
                <wp:positionV relativeFrom="paragraph">
                  <wp:posOffset>247650</wp:posOffset>
                </wp:positionV>
                <wp:extent cx="7629525" cy="0"/>
                <wp:effectExtent l="0" t="38100" r="4762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C1E7" id="直線接點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9.5pt" to="60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" strokecolor="yellow" strokeweight="6pt">
                <v:stroke joinstyle="miter"/>
                <w10:wrap anchorx="page"/>
              </v:line>
            </w:pict>
          </mc:Fallback>
        </mc:AlternateContent>
      </w:r>
    </w:p>
    <w:p w14:paraId="418DB7F8" w14:textId="066893E1" w:rsidR="00795340" w:rsidRPr="00DE5FD7" w:rsidRDefault="00795340" w:rsidP="00DE5FD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DE5FD7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推論過程</w:t>
      </w:r>
    </w:p>
    <w:p w14:paraId="75EC4606" w14:textId="6E957845" w:rsidR="006759AD" w:rsidRPr="00DE5FD7" w:rsidRDefault="006759A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考慮</w:t>
      </w:r>
      <w:proofErr w:type="gramStart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一</w:t>
      </w:r>
      <w:proofErr w:type="gramEnd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符合上述假設的流體，如圖所示：</w:t>
      </w:r>
    </w:p>
    <w:p w14:paraId="051B4DE3" w14:textId="51529ECB" w:rsidR="006759AD" w:rsidRPr="00DE5FD7" w:rsidRDefault="006759A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 w:rsidRPr="00DE5FD7">
        <w:rPr>
          <w:rFonts w:ascii="微軟正黑體" w:eastAsia="微軟正黑體" w:hAnsi="微軟正黑體"/>
          <w:b/>
          <w:bCs/>
          <w:noProof/>
          <w:color w:val="00FF00"/>
          <w:sz w:val="36"/>
          <w:szCs w:val="36"/>
        </w:rPr>
        <w:drawing>
          <wp:inline distT="0" distB="0" distL="0" distR="0" wp14:anchorId="28B837DF" wp14:editId="7CCBF003">
            <wp:extent cx="5124753" cy="2400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86" cy="240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9D61" w14:textId="77777777" w:rsidR="006759AD" w:rsidRPr="00DE5FD7" w:rsidRDefault="006759A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流體因受壓力的推動而得之能量：</w:t>
      </w:r>
    </w:p>
    <w:p w14:paraId="7653DDBC" w14:textId="37794512" w:rsidR="006759AD" w:rsidRPr="00DE5FD7" w:rsidRDefault="006759A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F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s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-F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s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=p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t-p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t</w:t>
      </w:r>
    </w:p>
    <w:p w14:paraId="21A33679" w14:textId="4406E81F" w:rsidR="006759AD" w:rsidRPr="00DE5FD7" w:rsidRDefault="006759A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流體因重力</w:t>
      </w:r>
      <w:proofErr w:type="gramStart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作功</w:t>
      </w:r>
      <w:proofErr w:type="gramEnd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所損失的能量：</w:t>
      </w:r>
    </w:p>
    <w:p w14:paraId="5803CE38" w14:textId="5CD31D33" w:rsidR="006759AD" w:rsidRPr="00DE5FD7" w:rsidRDefault="006759AD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m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gh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-mgh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</w:t>
      </w: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ρg</m:t>
        </m:r>
      </m:oMath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bookmarkStart w:id="1" w:name="_Hlk57576513"/>
      <w:r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t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h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bookmarkEnd w:id="1"/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-</w:t>
      </w: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g</w:t>
      </w:r>
      <w:bookmarkStart w:id="2" w:name="_Hlk57576836"/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bookmarkEnd w:id="2"/>
      <w:r w:rsidR="004E2215"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t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h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</w:p>
    <w:p w14:paraId="31CEBBE8" w14:textId="3FB7E78D" w:rsidR="004E2215" w:rsidRPr="00DE5FD7" w:rsidRDefault="004E2215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流體所得的動能可以改寫為：</w:t>
      </w:r>
    </w:p>
    <w:bookmarkStart w:id="3" w:name="_Hlk57576227"/>
    <w:p w14:paraId="0D3AD32F" w14:textId="70EFAF99" w:rsidR="004E2215" w:rsidRPr="00DE5FD7" w:rsidRDefault="00011A7C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</m:oMath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m</w:t>
      </w:r>
      <m:oMath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b/>
                    <w:bCs/>
                    <w:i/>
                    <w:color w:val="FFFFFF" w:themeColor="background1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  <w:bookmarkEnd w:id="3"/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-</w:t>
      </w:r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</m:oMath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m</w:t>
      </w:r>
      <m:oMath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b/>
                    <w:bCs/>
                    <w:i/>
                    <w:color w:val="FFFFFF" w:themeColor="background1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=</w:t>
      </w:r>
      <w:bookmarkStart w:id="4" w:name="_Hlk57576338"/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="004E2215"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t</w:t>
      </w:r>
      <m:oMath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b/>
                    <w:bCs/>
                    <w:i/>
                    <w:color w:val="FFFFFF" w:themeColor="background1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  <w:bookmarkEnd w:id="4"/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-</w:t>
      </w:r>
      <w:bookmarkStart w:id="5" w:name="_Hlk57576642"/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bookmarkStart w:id="6" w:name="_Hlk57576813"/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="004E2215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bookmarkEnd w:id="6"/>
      <w:r w:rsidR="004E2215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Δt</w:t>
      </w:r>
      <m:oMath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b/>
                    <w:bCs/>
                    <w:i/>
                    <w:color w:val="FFFFFF" w:themeColor="background1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  <w:bookmarkEnd w:id="5"/>
    </w:p>
    <w:p w14:paraId="2667BFCF" w14:textId="27AF3F84" w:rsidR="004E2215" w:rsidRPr="00DE5FD7" w:rsidRDefault="004E2215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根據能量守恆定律，流體因受力所得的能量＋流體因重力</w:t>
      </w:r>
      <w:proofErr w:type="gramStart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作功</w:t>
      </w:r>
      <w:proofErr w:type="gramEnd"/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所損失的能量＝流體所得的動能。</w:t>
      </w:r>
    </w:p>
    <w:p w14:paraId="212C7EB4" w14:textId="61908332" w:rsidR="004E2215" w:rsidRPr="00DE5FD7" w:rsidRDefault="004E2215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p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bookmarkStart w:id="7" w:name="_Hlk57576493"/>
      <w:bookmarkStart w:id="8" w:name="_Hlk57576738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bookmarkEnd w:id="7"/>
      <w:r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t</w:t>
      </w:r>
      <w:bookmarkEnd w:id="8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-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 p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Δ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t+</w:t>
      </w:r>
      <w:bookmarkStart w:id="9" w:name="_Hlk57576553"/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g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新細明體" w:eastAsia="新細明體" w:hAnsi="新細明體" w:hint="eastAsia"/>
          <w:b/>
          <w:bCs/>
          <w:color w:val="FFFFFF" w:themeColor="background1"/>
          <w:sz w:val="36"/>
          <w:szCs w:val="36"/>
        </w:rPr>
        <w:t>Δ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t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h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bookmarkEnd w:id="9"/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-</w:t>
      </w: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 xml:space="preserve"> ρ</m:t>
        </m:r>
      </m:oMath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g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Δt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h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</w:t>
      </w:r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Δt</w:t>
      </w:r>
      <m:oMath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b/>
                    <w:bCs/>
                    <w:i/>
                    <w:color w:val="FFFFFF" w:themeColor="background1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-</w:t>
      </w:r>
      <m:oMath>
        <m:f>
          <m:f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ρ</m:t>
        </m:r>
      </m:oMath>
      <w:r w:rsidR="009A73B6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</w:t>
      </w:r>
      <w:r w:rsidR="009A73B6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="009A73B6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="009A73B6"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="009A73B6"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Δt</w:t>
      </w:r>
      <m:oMath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b/>
                    <w:bCs/>
                    <w:i/>
                    <w:color w:val="FFFFFF" w:themeColor="background1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軟正黑體" w:hAnsi="Cambria Math"/>
                    <w:color w:val="FFFFFF" w:themeColor="background1"/>
                    <w:sz w:val="36"/>
                    <w:szCs w:val="36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2</m:t>
            </m:r>
          </m:sup>
        </m:sSup>
      </m:oMath>
    </w:p>
    <w:p w14:paraId="09247CEE" w14:textId="068E028E" w:rsidR="004E2215" w:rsidRPr="00DE5FD7" w:rsidRDefault="009A73B6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由連續方程式可知：</w:t>
      </w:r>
    </w:p>
    <w:p w14:paraId="7CECAEDF" w14:textId="0775193A" w:rsidR="009A73B6" w:rsidRDefault="009A73B6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DE5FD7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1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 A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v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bscript"/>
        </w:rPr>
        <w:t>2</w:t>
      </w:r>
      <w:r w:rsidRPr="00DE5FD7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=constant</w:t>
      </w:r>
    </w:p>
    <w:p w14:paraId="2AC6721E" w14:textId="4892CC47" w:rsidR="00EE28E7" w:rsidRPr="00DE5FD7" w:rsidRDefault="00EE28E7" w:rsidP="00DE5FD7">
      <w:pPr>
        <w:spacing w:line="300" w:lineRule="auto"/>
        <w:ind w:left="7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F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2F9CC" wp14:editId="42B398F5">
                <wp:simplePos x="0" y="0"/>
                <wp:positionH relativeFrom="page">
                  <wp:align>left</wp:align>
                </wp:positionH>
                <wp:positionV relativeFrom="paragraph">
                  <wp:posOffset>390525</wp:posOffset>
                </wp:positionV>
                <wp:extent cx="7629525" cy="0"/>
                <wp:effectExtent l="0" t="38100" r="4762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CE1A4" id="直線接點 4" o:spid="_x0000_s1026" style="position:absolute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30.75pt" to="600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" strokecolor="yellow" strokeweight="6pt">
                <v:stroke joinstyle="miter"/>
                <w10:wrap anchorx="page"/>
              </v:line>
            </w:pict>
          </mc:Fallback>
        </mc:AlternateContent>
      </w:r>
      <w:r>
        <w:rPr>
          <w:rFonts w:ascii="微軟正黑體" w:eastAsia="微軟正黑體" w:hAnsi="微軟正黑體" w:hint="eastAsia"/>
          <w:b/>
          <w:bCs/>
          <w:noProof/>
          <w:color w:val="00FF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5FB90" wp14:editId="2CB1AF91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629525" cy="0"/>
                <wp:effectExtent l="0" t="38100" r="4762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5D411" id="直線接點 3" o:spid="_x0000_s1026" style="position:absolute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6.5pt" to="60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" strokecolor="yellow" strokeweight="6pt">
                <v:stroke joinstyle="miter"/>
                <w10:wrap anchorx="page"/>
              </v:line>
            </w:pict>
          </mc:Fallback>
        </mc:AlternateContent>
      </w:r>
    </w:p>
    <w:sectPr w:rsidR="00EE28E7" w:rsidRPr="00DE5FD7" w:rsidSect="00FA0F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15BB1" w14:textId="77777777" w:rsidR="00011A7C" w:rsidRDefault="00011A7C" w:rsidP="00985C61">
      <w:r>
        <w:separator/>
      </w:r>
    </w:p>
  </w:endnote>
  <w:endnote w:type="continuationSeparator" w:id="0">
    <w:p w14:paraId="264AE821" w14:textId="77777777" w:rsidR="00011A7C" w:rsidRDefault="00011A7C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2FCBB" w14:textId="77777777" w:rsidR="00DE5FD7" w:rsidRDefault="00DE5F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3213" w14:textId="77777777" w:rsidR="00DE5FD7" w:rsidRDefault="00DE5FD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7C0EA" w14:textId="77777777" w:rsidR="00DE5FD7" w:rsidRDefault="00DE5F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73CAF" w14:textId="77777777" w:rsidR="00011A7C" w:rsidRDefault="00011A7C" w:rsidP="00985C61">
      <w:r>
        <w:separator/>
      </w:r>
    </w:p>
  </w:footnote>
  <w:footnote w:type="continuationSeparator" w:id="0">
    <w:p w14:paraId="03F2BF76" w14:textId="77777777" w:rsidR="00011A7C" w:rsidRDefault="00011A7C" w:rsidP="00985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1770C" w14:textId="77777777" w:rsidR="00DE5FD7" w:rsidRDefault="00DE5F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7AE6E" w14:textId="77777777" w:rsidR="00DE5FD7" w:rsidRDefault="00DE5FD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604CE" w14:textId="77777777" w:rsidR="00DE5FD7" w:rsidRDefault="00DE5F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E7C03"/>
    <w:multiLevelType w:val="hybridMultilevel"/>
    <w:tmpl w:val="C0EA76BC"/>
    <w:lvl w:ilvl="0" w:tplc="9E968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11A7C"/>
    <w:rsid w:val="00094F04"/>
    <w:rsid w:val="000A5F98"/>
    <w:rsid w:val="00220078"/>
    <w:rsid w:val="002412C3"/>
    <w:rsid w:val="002C73EC"/>
    <w:rsid w:val="00300CDA"/>
    <w:rsid w:val="004D1E5F"/>
    <w:rsid w:val="004E2215"/>
    <w:rsid w:val="00627929"/>
    <w:rsid w:val="006759AD"/>
    <w:rsid w:val="007008AA"/>
    <w:rsid w:val="00795340"/>
    <w:rsid w:val="007C46B3"/>
    <w:rsid w:val="00803BA9"/>
    <w:rsid w:val="008418D4"/>
    <w:rsid w:val="00985C61"/>
    <w:rsid w:val="009A73B6"/>
    <w:rsid w:val="009E2379"/>
    <w:rsid w:val="00AA2C84"/>
    <w:rsid w:val="00AC1E7A"/>
    <w:rsid w:val="00BC20FD"/>
    <w:rsid w:val="00C54D07"/>
    <w:rsid w:val="00C6165C"/>
    <w:rsid w:val="00C730C4"/>
    <w:rsid w:val="00D854C3"/>
    <w:rsid w:val="00DD3B93"/>
    <w:rsid w:val="00DE5FD7"/>
    <w:rsid w:val="00E731BC"/>
    <w:rsid w:val="00EE28E7"/>
    <w:rsid w:val="00F7319F"/>
    <w:rsid w:val="00FA0F39"/>
    <w:rsid w:val="00FA39C2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Hyperlink"/>
    <w:basedOn w:val="a0"/>
    <w:uiPriority w:val="99"/>
    <w:unhideWhenUsed/>
    <w:rsid w:val="002412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12C3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03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F%86%E5%BA%A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至庚 洪</cp:lastModifiedBy>
  <cp:revision>16</cp:revision>
  <dcterms:created xsi:type="dcterms:W3CDTF">2020-08-26T10:14:00Z</dcterms:created>
  <dcterms:modified xsi:type="dcterms:W3CDTF">2021-03-21T09:36:00Z</dcterms:modified>
</cp:coreProperties>
</file>