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5FFFEE8D" wp14:textId="77777777">
      <w:pPr>
        <w:pStyle w:val="Heading1"/>
        <w:keepNext w:val="true"/>
        <w:keepLines/>
        <w:spacing w:before="480" w:after="0"/>
        <w:rPr/>
      </w:pPr>
      <w:r>
        <w:rPr/>
        <w:t>CSCI 3500 – Fall 2025 Lab Report</w:t>
      </w:r>
    </w:p>
    <w:p xmlns:wp14="http://schemas.microsoft.com/office/word/2010/wordml" w14:paraId="5081346F" wp14:textId="77777777">
      <w:pPr>
        <w:pStyle w:val="FirstParagraph"/>
        <w:rPr/>
      </w:pPr>
      <w:r>
        <w:rPr>
          <w:b/>
          <w:bCs/>
        </w:rPr>
        <w:t>Ethan Walton</w:t>
      </w:r>
    </w:p>
    <w:p xmlns:wp14="http://schemas.microsoft.com/office/word/2010/wordml" w14:paraId="5C14A547" wp14:textId="77777777">
      <w:pPr>
        <w:pStyle w:val="BodyText"/>
        <w:rPr/>
      </w:pPr>
      <w:r>
        <w:rPr>
          <w:b/>
          <w:bCs/>
        </w:rPr>
        <w:t>November 3, 2025</w:t>
      </w:r>
    </w:p>
    <w:p xmlns:wp14="http://schemas.microsoft.com/office/word/2010/wordml" w14:paraId="5E88D433" wp14:textId="77777777">
      <w:pPr>
        <w:pStyle w:val="BodyText"/>
        <w:rPr/>
      </w:pPr>
      <w:r>
        <w:rPr>
          <w:b/>
          <w:bCs/>
        </w:rPr>
        <w:t>Instructor: Ms. Emond</w:t>
      </w:r>
    </w:p>
    <w:p xmlns:wp14="http://schemas.microsoft.com/office/word/2010/wordml" w14:paraId="2FC912BC" wp14:textId="77777777">
      <w:pPr>
        <w:pStyle w:val="BodyText"/>
        <w:rPr/>
      </w:pPr>
      <w:r>
        <w:rPr>
          <w:b/>
          <w:bCs/>
        </w:rPr>
        <w:t>Introduction to Splunk Lab</w:t>
      </w:r>
    </w:p>
    <w:p xmlns:wp14="http://schemas.microsoft.com/office/word/2010/wordml" w14:paraId="717D0786" wp14:textId="77777777">
      <w:pPr>
        <w:pStyle w:val="Heading2"/>
        <w:rPr/>
      </w:pPr>
      <w:r>
        <w:rPr/>
        <w:t>Lab Purpose (In Your Own Words)</w:t>
      </w:r>
    </w:p>
    <w:p xmlns:wp14="http://schemas.microsoft.com/office/word/2010/wordml" w14:paraId="0A9154DF" wp14:textId="77777777">
      <w:pPr>
        <w:pStyle w:val="FirstParagraph"/>
        <w:rPr/>
      </w:pPr>
      <w:r>
        <w:rPr/>
        <w:t>The purpose of this lab was to gain hands-on experience with Splunk Enterprise, a leading Security Information and Event Management (SIEM) tool used in cybersecurity operations. This lab introduced fundamental concepts of using Splunk for security monitoring, including setting up a Splunk instance, ingesting sample data, and performing basic search and filtering operations to identify specific events and user activities. The lab aimed to demonstrate how SIEM tools like Splunk fit into a broader security monitoring process and provide practical experience with search capabilities that are essential for cybersecurity analysis and incident response.</w:t>
      </w:r>
    </w:p>
    <w:p xmlns:wp14="http://schemas.microsoft.com/office/word/2010/wordml" w14:paraId="5F28D89B" wp14:textId="77777777">
      <w:pPr>
        <w:pStyle w:val="Heading2"/>
        <w:rPr/>
      </w:pPr>
      <w:bookmarkStart w:name="tools-resources-required" w:id="3"/>
      <w:r>
        <w:rPr/>
        <w:t>Tools &amp; Resources Required</w:t>
      </w:r>
    </w:p>
    <w:p xmlns:wp14="http://schemas.microsoft.com/office/word/2010/wordml" w14:paraId="6B9CA71D" wp14:textId="77777777">
      <w:pPr>
        <w:pStyle w:val="Normal"/>
        <w:numPr>
          <w:ilvl w:val="0"/>
          <w:numId w:val="1"/>
        </w:numPr>
        <w:rPr/>
      </w:pPr>
      <w:r>
        <w:rPr>
          <w:b/>
          <w:bCs/>
        </w:rPr>
        <w:t>Splunk Enterprise 10.0.1</w:t>
      </w:r>
      <w:r>
        <w:rPr/>
        <w:t>: The main SIEM platform used for data indexing, searching, and analysis. Downloaded and installed locally with a 60-day trial license that converts to a perpetual free license with 500MB daily indexing capacity.</w:t>
      </w:r>
    </w:p>
    <w:p xmlns:wp14="http://schemas.microsoft.com/office/word/2010/wordml" w14:paraId="070F02A6" wp14:textId="77777777">
      <w:pPr>
        <w:pStyle w:val="Normal"/>
        <w:numPr>
          <w:ilvl w:val="0"/>
          <w:numId w:val="1"/>
        </w:numPr>
        <w:rPr/>
      </w:pPr>
      <w:r>
        <w:rPr>
          <w:b/>
          <w:bCs/>
        </w:rPr>
        <w:t>Splunk Search Tutorial Data</w:t>
      </w:r>
      <w:r>
        <w:rPr/>
        <w:t>: Sample data files from the official Splunk tutorial, including web access logs and vendor sales data from the fictional “Buttercup Games” company used for practicing search techniques.</w:t>
      </w:r>
    </w:p>
    <w:p xmlns:wp14="http://schemas.microsoft.com/office/word/2010/wordml" w14:paraId="2E952B7C" wp14:textId="77777777">
      <w:pPr>
        <w:pStyle w:val="Normal"/>
        <w:numPr>
          <w:ilvl w:val="0"/>
          <w:numId w:val="1"/>
        </w:numPr>
        <w:rPr/>
      </w:pPr>
      <w:r>
        <w:rPr>
          <w:b/>
          <w:bCs/>
        </w:rPr>
        <w:t>Web Browser</w:t>
      </w:r>
      <w:r>
        <w:rPr/>
        <w:t>: Used to access the Splunk web interface and navigate to tutorial resources and documentation.</w:t>
      </w:r>
    </w:p>
    <w:p xmlns:wp14="http://schemas.microsoft.com/office/word/2010/wordml" w14:paraId="12B818B8" wp14:textId="77777777">
      <w:pPr>
        <w:pStyle w:val="Normal"/>
        <w:numPr>
          <w:ilvl w:val="0"/>
          <w:numId w:val="1"/>
        </w:numPr>
        <w:rPr/>
      </w:pPr>
      <w:r>
        <w:rPr>
          <w:b/>
          <w:bCs/>
        </w:rPr>
        <w:t>Splunk Search Tutorial Documentation</w:t>
      </w:r>
      <w:r>
        <w:rPr/>
        <w:t>: Official tutorial guide available at help.splunk.com providing step-by-step instructions for Parts 2-7 of the search tutorial.</w:t>
      </w:r>
      <w:bookmarkEnd w:id="3"/>
    </w:p>
    <w:p xmlns:wp14="http://schemas.microsoft.com/office/word/2010/wordml" w14:paraId="623FF273" wp14:textId="77777777">
      <w:pPr>
        <w:pStyle w:val="Heading2"/>
        <w:rPr/>
      </w:pPr>
      <w:bookmarkStart w:name="lab-procedures-minimum-of-1-page" w:id="4"/>
      <w:r>
        <w:rPr/>
        <w:t>Lab Procedures (Minimum of 1 Page)</w:t>
      </w:r>
    </w:p>
    <w:p xmlns:wp14="http://schemas.microsoft.com/office/word/2010/wordml" w14:paraId="5069FFAC" wp14:textId="77777777">
      <w:pPr>
        <w:pStyle w:val="FirstParagraph"/>
        <w:rPr/>
      </w:pPr>
      <w:r>
        <w:rPr>
          <w:b/>
          <w:bCs/>
        </w:rPr>
        <w:t>1. Splunk Account Setup and Installation</w:t>
      </w:r>
    </w:p>
    <w:p xmlns:wp14="http://schemas.microsoft.com/office/word/2010/wordml" w14:paraId="0D852E49" wp14:textId="77777777">
      <w:pPr>
        <w:pStyle w:val="BodyText"/>
        <w:rPr/>
      </w:pPr>
      <w:r>
        <w:rPr/>
        <w:t>I began by navigating to splunk.com and creating a free account using “Student” as the job title and “ETSU” as the company. After email verification, I accessed the “Trials &amp; Downloads” section and selected Splunk Enterprise over Splunk Cloud Platform due to the longer 60-day trial period versus 15 days for the cloud version.</w:t>
      </w:r>
    </w:p>
    <w:p xmlns:wp14="http://schemas.microsoft.com/office/word/2010/wordml" w14:paraId="6046CCE0" wp14:textId="77777777">
      <w:pPr>
        <w:pStyle w:val="BodyText"/>
        <w:rPr/>
      </w:pPr>
      <w:r>
        <w:rPr>
          <w:b/>
          <w:bCs/>
        </w:rPr>
        <w:t>2. Splunk Enterprise Installation</w:t>
      </w:r>
    </w:p>
    <w:p xmlns:wp14="http://schemas.microsoft.com/office/word/2010/wordml" w14:paraId="13DB6DDB" wp14:textId="77777777">
      <w:pPr>
        <w:pStyle w:val="BodyText"/>
        <w:rPr/>
      </w:pPr>
      <w:r>
        <w:rPr/>
        <w:t>I downloaded the appropriate installation package for my operating system (915.37 MB .msi file for Windows). During the installation process, I was prompted to create administrator credentials, which I configured carefully as instructed to ensure secure access to the Splunk instance.</w:t>
      </w:r>
    </w:p>
    <w:p xmlns:wp14="http://schemas.microsoft.com/office/word/2010/wordml" w14:paraId="3F8345FB" wp14:textId="77777777">
      <w:pPr>
        <w:pStyle w:val="BodyText"/>
        <w:rPr/>
      </w:pPr>
      <w:r>
        <w:rPr>
          <w:b/>
          <w:bCs/>
        </w:rPr>
        <w:t>3. Tutorial Data Setup</w:t>
      </w:r>
    </w:p>
    <w:p xmlns:wp14="http://schemas.microsoft.com/office/word/2010/wordml" w14:paraId="70E595B4" wp14:textId="77777777">
      <w:pPr>
        <w:pStyle w:val="BodyText"/>
        <w:rPr/>
      </w:pPr>
      <w:r>
        <w:rPr/>
        <w:t>Following the lab instructions, I navigated to the Splunk Search Tutorial documentation and downloaded the required tutorial data files. Per the tutorial instructions, I did not uncompress these files initially, as they needed to be uploaded in their compressed format to Splunk.</w:t>
      </w:r>
    </w:p>
    <w:p xmlns:wp14="http://schemas.microsoft.com/office/word/2010/wordml" w14:paraId="0D85A728" wp14:textId="77777777">
      <w:pPr>
        <w:pStyle w:val="BodyText"/>
        <w:rPr/>
      </w:pPr>
      <w:r>
        <w:rPr>
          <w:b/>
          <w:bCs/>
        </w:rPr>
        <w:t>4. Completing Tutorial Parts 2-7</w:t>
      </w:r>
    </w:p>
    <w:p xmlns:wp14="http://schemas.microsoft.com/office/word/2010/wordml" w14:paraId="2B3F02BD" wp14:textId="77777777">
      <w:pPr>
        <w:pStyle w:val="BodyText"/>
        <w:rPr/>
      </w:pPr>
      <w:r>
        <w:rPr>
          <w:b/>
          <w:bCs/>
        </w:rPr>
        <w:t>Part 2 - Getting Data In</w:t>
      </w:r>
      <w:r>
        <w:rPr/>
        <w:t>: I uploaded the tutorial data files through the Splunk web interface, configuring the appropriate source types and indexing settings. This established the foundation dataset of web access logs and sales data for the Buttercup Games fictional company.</w:t>
      </w:r>
    </w:p>
    <w:p xmlns:wp14="http://schemas.microsoft.com/office/word/2010/wordml" w14:paraId="682F7227" wp14:textId="77777777">
      <w:pPr>
        <w:pStyle w:val="BodyText"/>
        <w:rPr/>
      </w:pPr>
      <w:r>
        <w:rPr>
          <w:b/>
          <w:bCs/>
        </w:rPr>
        <w:t>Part 3 - Using Fields</w:t>
      </w:r>
      <w:r>
        <w:rPr/>
        <w:t>: I explored how Splunk automatically extracts fields from raw data and learned to use the Fields sidebar to examine field values and distributions. I practiced using field-value pairs in searches to filter results more precisely, such as searching for specific sourcetypes and combining multiple field criteria using logical operators.</w:t>
      </w:r>
    </w:p>
    <w:p xmlns:wp14="http://schemas.microsoft.com/office/word/2010/wordml" w14:paraId="3B1B20F8" wp14:textId="77777777">
      <w:pPr>
        <w:pStyle w:val="BodyText"/>
        <w:rPr/>
      </w:pPr>
      <w:r>
        <w:rPr>
          <w:b/>
          <w:bCs/>
        </w:rPr>
        <w:t>Part 4 - Searching Tutorial Data</w:t>
      </w:r>
      <w:r>
        <w:rPr/>
        <w:t>: I conducted basic searches using keywords and boolean operators. I learned to use the Search Assistant feature for autocomplete and command guidance. Key searches included looking for HTTP status codes (like 503 errors), specific user activities, and purchase transactions using terms like “buttercup” and “category”.</w:t>
      </w:r>
    </w:p>
    <w:p xmlns:wp14="http://schemas.microsoft.com/office/word/2010/wordml" w14:paraId="150FEB39" wp14:textId="77777777">
      <w:pPr>
        <w:pStyle w:val="BodyText"/>
        <w:rPr/>
      </w:pPr>
      <w:r>
        <w:rPr>
          <w:b/>
          <w:bCs/>
        </w:rPr>
        <w:t>Part 5 - Search Commands</w:t>
      </w:r>
      <w:r>
        <w:rPr/>
        <w:t xml:space="preserve">: I practiced using fundamental SPL (Search Processing Language) commands including: - </w:t>
      </w:r>
      <w:r>
        <w:rPr>
          <w:b/>
          <w:bCs/>
        </w:rPr>
        <w:t>stats</w:t>
      </w:r>
      <w:r>
        <w:rPr/>
        <w:t xml:space="preserve">: For statistical analysis and counting events - </w:t>
      </w:r>
      <w:r>
        <w:rPr>
          <w:b/>
          <w:bCs/>
        </w:rPr>
        <w:t>chart</w:t>
      </w:r>
      <w:r>
        <w:rPr/>
        <w:t xml:space="preserve">: For creating basic visualizations - </w:t>
      </w:r>
      <w:r>
        <w:rPr>
          <w:b/>
          <w:bCs/>
        </w:rPr>
        <w:t>timechart</w:t>
      </w:r>
      <w:r>
        <w:rPr/>
        <w:t xml:space="preserve">: For time-based analysis - </w:t>
      </w:r>
      <w:r>
        <w:rPr>
          <w:b/>
          <w:bCs/>
        </w:rPr>
        <w:t>top</w:t>
      </w:r>
      <w:r>
        <w:rPr/>
        <w:t xml:space="preserve">: For finding most common values - </w:t>
      </w:r>
      <w:r>
        <w:rPr>
          <w:b/>
          <w:bCs/>
        </w:rPr>
        <w:t>fields</w:t>
      </w:r>
      <w:r>
        <w:rPr/>
        <w:t>: For selecting or excluding specific fields from results</w:t>
      </w:r>
    </w:p>
    <w:p xmlns:wp14="http://schemas.microsoft.com/office/word/2010/wordml" w14:paraId="7CC408C5" wp14:textId="77777777">
      <w:pPr>
        <w:pStyle w:val="BodyText"/>
        <w:rPr/>
      </w:pPr>
      <w:r>
        <w:rPr>
          <w:b/>
          <w:bCs/>
        </w:rPr>
        <w:t>Part 6 - Creating Reports and Charts</w:t>
      </w:r>
      <w:r>
        <w:rPr/>
        <w:t>: I learned to transform search results into visual reports and charts. This included creating bar charts, pie charts, and line graphs from search data, and saving these visualizations as reports for future use and sharing with other users.</w:t>
      </w:r>
    </w:p>
    <w:p xmlns:wp14="http://schemas.microsoft.com/office/word/2010/wordml" w14:paraId="586D2079" wp14:textId="77777777">
      <w:pPr>
        <w:pStyle w:val="BodyText"/>
        <w:rPr/>
      </w:pPr>
      <w:r>
        <w:rPr>
          <w:b/>
          <w:bCs/>
        </w:rPr>
        <w:t>Part 7 - Creating Dashboards</w:t>
      </w:r>
      <w:r>
        <w:rPr/>
        <w:t>: I combined multiple searches and visualizations into interactive dashboards, providing a comprehensive view of the data that could be used for ongoing monitoring and analysis.</w:t>
      </w:r>
    </w:p>
    <w:p xmlns:wp14="http://schemas.microsoft.com/office/word/2010/wordml" w14:paraId="7026A237" wp14:textId="77777777">
      <w:pPr>
        <w:pStyle w:val="BodyText"/>
        <w:rPr/>
      </w:pPr>
      <w:r>
        <w:rPr>
          <w:b/>
          <w:bCs/>
        </w:rPr>
        <w:t>5. Search Technique Practice</w:t>
      </w:r>
    </w:p>
    <w:p xmlns:wp14="http://schemas.microsoft.com/office/word/2010/wordml" w14:paraId="6D7C43E6" wp14:textId="77777777">
      <w:pPr>
        <w:pStyle w:val="BodyText"/>
        <w:rPr/>
      </w:pPr>
      <w:r>
        <w:rPr/>
        <w:t xml:space="preserve">Throughout the tutorial, I practiced essential Splunk search techniques including: - Time range selection to focus on specific periods - Field-based filtering using syntax like </w:t>
      </w:r>
      <w:r>
        <w:rPr>
          <w:rStyle w:val="VerbatimChar"/>
        </w:rPr>
        <w:t>sourcetype=access_* status=200</w:t>
      </w:r>
      <w:r>
        <w:rPr/>
        <w:t xml:space="preserve"> - Boolean operations (AND, OR, NOT) for complex queries - Wildcard usage for pattern matching - Statistical analysis using transforming commands</w:t>
      </w:r>
      <w:bookmarkEnd w:id="4"/>
    </w:p>
    <w:p xmlns:wp14="http://schemas.microsoft.com/office/word/2010/wordml" w14:paraId="4F0B297C" wp14:textId="77777777">
      <w:pPr>
        <w:pStyle w:val="Heading2"/>
        <w:rPr/>
      </w:pPr>
      <w:r>
        <w:rPr/>
        <w:t>Observations (Minimum of ½ Page)</w:t>
      </w:r>
    </w:p>
    <w:p xmlns:wp14="http://schemas.microsoft.com/office/word/2010/wordml" w14:paraId="7FAA4620" wp14:textId="77777777">
      <w:pPr>
        <w:pStyle w:val="FirstParagraph"/>
        <w:rPr/>
      </w:pPr>
      <w:r>
        <w:rPr/>
        <w:t>This lab provided valuable insights into the capabilities and importance of SIEM tools in cybersecurity operations. The most significant learning was understanding how Splunk transforms raw, unstructured log data into searchable, analyzable information through its field extraction and indexing capabilities.</w:t>
      </w:r>
    </w:p>
    <w:p xmlns:wp14="http://schemas.microsoft.com/office/word/2010/wordml" w14:paraId="6382C38B" wp14:textId="77777777">
      <w:pPr>
        <w:pStyle w:val="BodyText"/>
        <w:rPr/>
      </w:pPr>
      <w:r>
        <w:rPr/>
        <w:t>The power of Splunk’s Search Processing Language became evident as I progressed through the tutorials. The ability to chain commands using pipe operators allows for sophisticated data analysis workflows. For example, starting with a basic search for web access logs and then using statistical commands to identify patterns, anomalies, or trends demonstrates how security analysts can quickly drill down from high-level overviews to specific incidents or behaviors.</w:t>
      </w:r>
    </w:p>
    <w:p xmlns:wp14="http://schemas.microsoft.com/office/word/2010/wordml" w14:paraId="32DDAED4" wp14:textId="77777777">
      <w:pPr>
        <w:pStyle w:val="BodyText"/>
        <w:rPr/>
      </w:pPr>
      <w:r>
        <w:rPr/>
        <w:t>The field extraction capabilities impressed me most - Splunk automatically recognized and parsed various log formats, creating searchable fields from IP addresses, timestamps, HTTP status codes, and user agents. This automation significantly reduces the manual effort required to analyze logs compared to traditional text-based analysis methods.</w:t>
      </w:r>
    </w:p>
    <w:p xmlns:wp14="http://schemas.microsoft.com/office/word/2010/wordml" w14:paraId="2A4DE572" wp14:textId="77777777">
      <w:pPr>
        <w:pStyle w:val="BodyText"/>
        <w:rPr/>
      </w:pPr>
      <w:r>
        <w:rPr/>
        <w:t>The visualization capabilities proved particularly valuable for presenting security data in an understandable format. Converting search results into charts and dashboards makes it much easier to identify trends, spikes in activity, or unusual patterns that might indicate security incidents. The ability to create real-time dashboards means security teams can monitor their environment continuously rather than performing periodic manual analysis.</w:t>
      </w:r>
    </w:p>
    <w:p xmlns:wp14="http://schemas.microsoft.com/office/word/2010/wordml" w14:paraId="705EC9D3" wp14:textId="77777777">
      <w:pPr>
        <w:pStyle w:val="BodyText"/>
        <w:rPr/>
      </w:pPr>
      <w:r>
        <w:rPr/>
        <w:t>One challenge I encountered was the learning curve associated with SPL syntax. While the Search Assistant provides helpful suggestions, understanding how to construct effective queries requires practice and familiarity with the various commands and their parameters. However, the logical structure of chaining commands makes complex analysis achievable once the basic concepts are mastered.</w:t>
      </w:r>
    </w:p>
    <w:p xmlns:wp14="http://schemas.microsoft.com/office/word/2010/wordml" w14:paraId="27D831FE" wp14:textId="77777777">
      <w:pPr>
        <w:pStyle w:val="BodyText"/>
        <w:rPr/>
      </w:pPr>
      <w:r>
        <w:rPr/>
        <w:t>The time range picker functionality highlighted the importance of temporal analysis in security monitoring. Many security incidents have time-based patterns, and the ability to quickly adjust time ranges or create time-based charts helps analysts understand when events occurred and identify correlations between different activities.</w:t>
      </w:r>
    </w:p>
    <w:p xmlns:wp14="http://schemas.microsoft.com/office/word/2010/wordml" w14:paraId="09C6A46D" wp14:textId="77777777">
      <w:pPr>
        <w:pStyle w:val="Heading2"/>
        <w:rPr/>
      </w:pPr>
      <w:r>
        <w:rPr/>
        <w:t>Reflection Questions</w:t>
      </w:r>
    </w:p>
    <w:p xmlns:wp14="http://schemas.microsoft.com/office/word/2010/wordml" w14:paraId="63CE27ED" wp14:textId="77777777">
      <w:pPr>
        <w:pStyle w:val="FirstParagraph"/>
        <w:rPr/>
      </w:pPr>
      <w:r>
        <w:rPr>
          <w:b/>
          <w:bCs/>
        </w:rPr>
        <w:t>1. How do you think Splunk’s search capabilities contribute to building a stronger security posture for an organization?</w:t>
      </w:r>
    </w:p>
    <w:p xmlns:wp14="http://schemas.microsoft.com/office/word/2010/wordml" w14:paraId="46FC7CFB" wp14:textId="77777777">
      <w:pPr>
        <w:pStyle w:val="BodyText"/>
        <w:rPr/>
      </w:pPr>
      <w:r>
        <w:rPr/>
        <w:t>Splunk’s search capabilities significantly strengthen an organization’s security posture by providing real-time visibility into security events across the entire IT infrastructure. The ability to search through massive volumes of log data quickly enables security teams to detect threats as they occur rather than discovering them days or weeks later. The correlation capabilities allow analysts to connect seemingly unrelated events across different systems, which is crucial for identifying sophisticated attack patterns that might span multiple systems or occur over extended time periods. Additionally, the ability to create alerts and automated responses based on search criteria means organizations can respond to threats immediately, reducing potential damage and exposure time.</w:t>
      </w:r>
    </w:p>
    <w:p xmlns:wp14="http://schemas.microsoft.com/office/word/2010/wordml" w14:paraId="29DC6F75" wp14:textId="77777777">
      <w:pPr>
        <w:pStyle w:val="BodyText"/>
        <w:rPr/>
      </w:pPr>
      <w:r>
        <w:rPr>
          <w:b/>
          <w:bCs/>
        </w:rPr>
        <w:t>2. If you were tasked with investigating a security breach, how would you use Splunk’s search capabilities to guide your investigation?</w:t>
      </w:r>
    </w:p>
    <w:p xmlns:wp14="http://schemas.microsoft.com/office/word/2010/wordml" w14:paraId="1594C9D5" wp14:textId="77777777">
      <w:pPr>
        <w:pStyle w:val="BodyText"/>
        <w:rPr/>
      </w:pPr>
      <w:r>
        <w:rPr/>
        <w:t>During a security breach investigation, I would use Splunk’s search capabilities systematically to reconstruct the attack timeline and identify the scope of compromise. First, I would start with broad searches around the time frame of the suspected breach, looking for anomalous activities like failed login attempts, unusual network traffic, or privilege escalations. Then I would use field-based filtering to focus on specific user accounts, IP addresses, or systems that appear suspicious. The ability to correlate events across different log sources (authentication logs, network logs, application logs) would help me understand the attack path and identify all affected systems. Statistical commands would help identify patterns that deviate from normal behavior, and time-based analysis would help establish the sequence of events and determine the breach’s duration and impact.</w:t>
      </w:r>
    </w:p>
    <w:p xmlns:wp14="http://schemas.microsoft.com/office/word/2010/wordml" w14:paraId="487DED00" wp14:textId="77777777">
      <w:pPr>
        <w:pStyle w:val="BodyText"/>
        <w:rPr/>
      </w:pPr>
      <w:r>
        <w:rPr>
          <w:b/>
          <w:bCs/>
        </w:rPr>
        <w:t>3. How can the visualizations in Splunk (like charts or graphs) be used to present cybersecurity data?</w:t>
      </w:r>
    </w:p>
    <w:p xmlns:wp14="http://schemas.microsoft.com/office/word/2010/wordml" w14:paraId="3CD0A621" wp14:textId="77777777">
      <w:pPr>
        <w:pStyle w:val="BodyText"/>
        <w:rPr/>
      </w:pPr>
      <w:r>
        <w:rPr/>
        <w:t>Splunk’s visualizations are essential for communicating cybersecurity information to different audiences effectively. Charts and graphs can transform complex log data into easily understandable visual representations that highlight trends, anomalies, and patterns. For example, time-series charts can show attack volumes over time, helping identify peak attack periods or sustained campaign activities. Geographic visualizations can show attack sources by location, while heat maps can highlight the most targeted systems or services. For executive reporting, high-level dashboard views provide key security metrics and trends without overwhelming technical details. For security analysts, detailed drill-down charts help identify specific incidents and understand attack patterns. The ability to create real-time visualizations also enables security operations centers to monitor their environment continuously and respond quickly to emerging threats.</w:t>
      </w:r>
    </w:p>
    <w:p xmlns:wp14="http://schemas.microsoft.com/office/word/2010/wordml" w14:paraId="17E85BCB" wp14:textId="77777777">
      <w:pPr>
        <w:pStyle w:val="BodyText"/>
        <w:rPr/>
      </w:pPr>
      <w:r w:rsidRPr="75E7679C" w:rsidR="75E7679C">
        <w:rPr>
          <w:b w:val="1"/>
          <w:bCs w:val="1"/>
        </w:rPr>
        <w:t>4. How would you describe the learning curve of using Splunk for the first time?</w:t>
      </w:r>
    </w:p>
    <w:p xmlns:wp14="http://schemas.microsoft.com/office/word/2010/wordml" w14:paraId="590E7947" wp14:textId="149812C9">
      <w:pPr>
        <w:pStyle w:val="BodyText"/>
        <w:spacing w:before="180" w:after="180"/>
      </w:pPr>
      <w:r w:rsidR="04507C7E">
        <w:rPr/>
        <w:t xml:space="preserve">The learning curve for Splunk is moderate but manageable with proper guidance and practice. Initially, the interface and Search Processing Language syntax can seem overwhelming, especially for users without prior experience with </w:t>
      </w:r>
      <w:r w:rsidR="04507C7E">
        <w:rPr/>
        <w:t>query</w:t>
      </w:r>
      <w:r w:rsidR="04507C7E">
        <w:rPr/>
        <w:t xml:space="preserve"> languages or log analysis tools. However, Splunk’s Search Assistant and intuitive web interface help ease the </w:t>
      </w:r>
      <w:r w:rsidR="04507C7E">
        <w:rPr/>
        <w:t>initial</w:t>
      </w:r>
      <w:r w:rsidR="04507C7E">
        <w:rPr/>
        <w:t xml:space="preserve"> learning process by providing contextual suggestions and visual feedback. The logical structure of chaining commands with pipes makes sense once understood, and the immediate visual feedback helps users understand the impact of their searches. The most challenging aspect is learning to think analytically about log data and understanding which searches will </w:t>
      </w:r>
      <w:r w:rsidR="04507C7E">
        <w:rPr/>
        <w:t>provide</w:t>
      </w:r>
      <w:r w:rsidR="04507C7E">
        <w:rPr/>
        <w:t xml:space="preserve"> meaningful insights. However, </w:t>
      </w:r>
      <w:r w:rsidR="04507C7E">
        <w:rPr/>
        <w:t>the comprehensive</w:t>
      </w:r>
      <w:r w:rsidR="04507C7E">
        <w:rPr/>
        <w:t xml:space="preserve"> documentation, tutorials, and community resources make it possible to become proficient </w:t>
      </w:r>
      <w:r w:rsidR="04507C7E">
        <w:rPr/>
        <w:t>relatively quickly</w:t>
      </w:r>
      <w:r w:rsidR="04507C7E">
        <w:rPr/>
        <w:t xml:space="preserve">. With focused practice over several weeks, a user can develop sufficient skills to perform basic security analysis, though mastering advanced features and developing </w:t>
      </w:r>
      <w:r w:rsidR="04507C7E">
        <w:rPr/>
        <w:t>expertise</w:t>
      </w:r>
      <w:r w:rsidR="04507C7E">
        <w:rPr/>
        <w:t xml:space="preserve"> in threat hunting requires more extensive experience and training.</w:t>
      </w:r>
    </w:p>
    <w:p w:rsidR="04507C7E" w:rsidP="75E7679C" w:rsidRDefault="04507C7E" w14:paraId="0A371306" w14:textId="75BF7AA8">
      <w:pPr>
        <w:pStyle w:val="BodyText"/>
        <w:spacing w:before="180" w:after="180"/>
      </w:pPr>
      <w:r w:rsidR="04507C7E">
        <w:drawing>
          <wp:inline wp14:editId="5678E2CD" wp14:anchorId="24990FA3">
            <wp:extent cx="4867275" cy="5943600"/>
            <wp:effectExtent l="0" t="0" r="0" b="0"/>
            <wp:docPr id="92345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45527" name=""/>
                    <pic:cNvPicPr/>
                  </pic:nvPicPr>
                  <pic:blipFill>
                    <a:blip xmlns:r="http://schemas.openxmlformats.org/officeDocument/2006/relationships" r:embed="rId426948052">
                      <a:extLst>
                        <a:ext xmlns:a="http://schemas.openxmlformats.org/drawingml/2006/main" uri="{28A0092B-C50C-407E-A947-70E740481C1C}">
                          <a14:useLocalDpi xmlns:a14="http://schemas.microsoft.com/office/drawing/2010/main" val="0"/>
                        </a:ext>
                      </a:extLst>
                    </a:blip>
                    <a:stretch>
                      <a:fillRect/>
                    </a:stretch>
                  </pic:blipFill>
                  <pic:spPr>
                    <a:xfrm>
                      <a:off x="0" y="0"/>
                      <a:ext cx="4867275" cy="5943600"/>
                    </a:xfrm>
                    <a:prstGeom prst="rect">
                      <a:avLst/>
                    </a:prstGeom>
                  </pic:spPr>
                </pic:pic>
              </a:graphicData>
            </a:graphic>
          </wp:inline>
        </w:drawing>
      </w:r>
    </w:p>
    <w:p w:rsidR="04507C7E" w:rsidP="75E7679C" w:rsidRDefault="04507C7E" w14:paraId="359333A7" w14:textId="49E78938">
      <w:pPr>
        <w:pStyle w:val="BodyText"/>
        <w:spacing w:before="180" w:after="180"/>
      </w:pPr>
      <w:r w:rsidR="04507C7E">
        <w:drawing>
          <wp:inline wp14:editId="3E627CB1" wp14:anchorId="47D7521F">
            <wp:extent cx="5943600" cy="1590675"/>
            <wp:effectExtent l="0" t="0" r="0" b="0"/>
            <wp:docPr id="479892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892339" name=""/>
                    <pic:cNvPicPr/>
                  </pic:nvPicPr>
                  <pic:blipFill>
                    <a:blip xmlns:r="http://schemas.openxmlformats.org/officeDocument/2006/relationships" r:embed="rId1517619869">
                      <a:extLst>
                        <a:ext xmlns:a="http://schemas.openxmlformats.org/drawingml/2006/main" uri="{28A0092B-C50C-407E-A947-70E740481C1C}">
                          <a14:useLocalDpi xmlns:a14="http://schemas.microsoft.com/office/drawing/2010/main" val="0"/>
                        </a:ext>
                      </a:extLst>
                    </a:blip>
                    <a:stretch>
                      <a:fillRect/>
                    </a:stretch>
                  </pic:blipFill>
                  <pic:spPr>
                    <a:xfrm>
                      <a:off x="0" y="0"/>
                      <a:ext cx="5943600" cy="1590675"/>
                    </a:xfrm>
                    <a:prstGeom prst="rect">
                      <a:avLst/>
                    </a:prstGeom>
                  </pic:spPr>
                </pic:pic>
              </a:graphicData>
            </a:graphic>
          </wp:inline>
        </w:drawing>
      </w:r>
    </w:p>
    <w:sectPr>
      <w:type w:val="nextPage"/>
      <w:pgSz w:w="12240" w:h="15840" w:orient="portrait"/>
      <w:pgMar w:top="1440" w:right="1440" w:bottom="1440" w:left="1440" w:header="0" w:footer="0" w:gutter="0"/>
      <w:pgNumType w:fmt="decimal"/>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Noto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hint="default" w:ascii="Symbol" w:hAnsi="Symbol" w:cs="Symbol"/>
      </w:rPr>
    </w:lvl>
    <w:lvl w:ilvl="1">
      <w:start w:val="0"/>
      <w:numFmt w:val="bullet"/>
      <w:lvlText w:val=""/>
      <w:lvlJc w:val="left"/>
      <w:pPr>
        <w:tabs>
          <w:tab w:val="num" w:pos="0"/>
        </w:tabs>
        <w:ind w:left="1440" w:hanging="480"/>
      </w:pPr>
      <w:rPr>
        <w:rFonts w:hint="default" w:ascii="Symbol" w:hAnsi="Symbol" w:cs="Symbol"/>
      </w:rPr>
    </w:lvl>
    <w:lvl w:ilvl="2">
      <w:start w:val="0"/>
      <w:numFmt w:val="bullet"/>
      <w:lvlText w:val=""/>
      <w:lvlJc w:val="left"/>
      <w:pPr>
        <w:tabs>
          <w:tab w:val="num" w:pos="0"/>
        </w:tabs>
        <w:ind w:left="2160" w:hanging="480"/>
      </w:pPr>
      <w:rPr>
        <w:rFonts w:hint="default" w:ascii="Symbol" w:hAnsi="Symbol" w:cs="Symbol"/>
      </w:rPr>
    </w:lvl>
    <w:lvl w:ilvl="3">
      <w:start w:val="0"/>
      <w:numFmt w:val="bullet"/>
      <w:lvlText w:val=""/>
      <w:lvlJc w:val="left"/>
      <w:pPr>
        <w:tabs>
          <w:tab w:val="num" w:pos="0"/>
        </w:tabs>
        <w:ind w:left="2880" w:hanging="480"/>
      </w:pPr>
      <w:rPr>
        <w:rFonts w:hint="default" w:ascii="Symbol" w:hAnsi="Symbol" w:cs="Symbol"/>
      </w:rPr>
    </w:lvl>
    <w:lvl w:ilvl="4">
      <w:start w:val="0"/>
      <w:numFmt w:val="bullet"/>
      <w:lvlText w:val=""/>
      <w:lvlJc w:val="left"/>
      <w:pPr>
        <w:tabs>
          <w:tab w:val="num" w:pos="0"/>
        </w:tabs>
        <w:ind w:left="3600" w:hanging="480"/>
      </w:pPr>
      <w:rPr>
        <w:rFonts w:hint="default" w:ascii="Symbol" w:hAnsi="Symbol" w:cs="Symbol"/>
      </w:rPr>
    </w:lvl>
    <w:lvl w:ilvl="5">
      <w:start w:val="0"/>
      <w:numFmt w:val="bullet"/>
      <w:lvlText w:val=""/>
      <w:lvlJc w:val="left"/>
      <w:pPr>
        <w:tabs>
          <w:tab w:val="num" w:pos="0"/>
        </w:tabs>
        <w:ind w:left="4320" w:hanging="480"/>
      </w:pPr>
      <w:rPr>
        <w:rFonts w:hint="default" w:ascii="Symbol" w:hAnsi="Symbol" w:cs="Symbol"/>
      </w:rPr>
    </w:lvl>
    <w:lvl w:ilvl="6">
      <w:start w:val="0"/>
      <w:numFmt w:val="bullet"/>
      <w:lvlText w:val=""/>
      <w:lvlJc w:val="left"/>
      <w:pPr>
        <w:tabs>
          <w:tab w:val="num" w:pos="0"/>
        </w:tabs>
        <w:ind w:left="5040" w:hanging="480"/>
      </w:pPr>
      <w:rPr>
        <w:rFonts w:hint="default" w:ascii="Symbol" w:hAnsi="Symbol" w:cs="Symbol"/>
      </w:rPr>
    </w:lvl>
    <w:lvl w:ilvl="7">
      <w:start w:val="0"/>
      <w:numFmt w:val="bullet"/>
      <w:lvlText w:val=""/>
      <w:lvlJc w:val="left"/>
      <w:pPr>
        <w:tabs>
          <w:tab w:val="num" w:pos="0"/>
        </w:tabs>
        <w:ind w:left="5760" w:hanging="480"/>
      </w:pPr>
      <w:rPr>
        <w:rFonts w:hint="default" w:ascii="Symbol" w:hAnsi="Symbol" w:cs="Symbol"/>
      </w:rPr>
    </w:lvl>
    <w:lvl w:ilvl="8">
      <w:start w:val="0"/>
      <w:numFmt w:val="bullet"/>
      <w:lvlText w:val=""/>
      <w:lvlJc w:val="left"/>
      <w:pPr>
        <w:tabs>
          <w:tab w:val="num" w:pos="0"/>
        </w:tabs>
        <w:ind w:left="6480" w:hanging="480"/>
      </w:pPr>
      <w:rPr>
        <w:rFonts w:hint="default" w:ascii="Symbol" w:hAnsi="Symbol" w:cs="Symbol"/>
      </w:rPr>
    </w:lvl>
    <w:nsid w:val="666eb89c"/>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33b275c"/>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embedSystemFonts/>
  <w:trackRevisions w:val="false"/>
  <w:defaultTabStop w:val="720"/>
  <w:autoHyphenation w:val="true"/>
  <w:hyphenationZone w:val="0"/>
  <w:compat>
    <w:compatSetting w:name="compatibilityMode" w:uri="http://schemas.microsoft.com/office/word" w:val="12"/>
  </w:compat>
  <w:themeFontLang w:val="en-US" w:eastAsia="" w:bidi=""/>
  <w14:docId w14:val="7B60A17E"/>
  <w15:docId w15:val="{7957B7E5-5617-4EC0-B2A4-4ECE731E039D}"/>
  <w:rsids>
    <w:rsidRoot w:val="04507C7E"/>
    <w:rsid w:val="04507C7E"/>
    <w:rsid w:val="421F7B95"/>
    <w:rsid w:val="75E7679C"/>
    <w:rsid w:val="77DD9441"/>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Cambria" w:cs="" w:asciiTheme="minorHAnsi" w:hAnsiTheme="minorHAnsi" w:eastAsiaTheme="minorHAnsi" w:cstheme="minorBid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hAnsiTheme="minorHAnsi" w:eastAsiaTheme="minorHAnsi" w:cstheme="minorBid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hAnsiTheme="majorHAnsi" w:eastAsiaTheme="majorEastAsia" w:cstheme="majorBidi"/>
      <w:bCs/>
      <w:i/>
      <w:color w:val="4F81BD" w:themeColor="accent1"/>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hAnsiTheme="majorHAnsi" w:eastAsiaTheme="majorEastAsia" w:cstheme="majorBid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hAnsiTheme="minorHAnsi" w:eastAsiaTheme="minorHAnsi" w:cstheme="minorBid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hAnsiTheme="minorHAnsi" w:eastAsiaTheme="minorHAnsi" w:cstheme="minorBid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hanging="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left="480" w:right="480" w:hanging="0"/>
      <w:jc w:val="left"/>
    </w:pPr>
    <w:rPr>
      <w:rFonts w:ascii="Cambria" w:hAnsi="Cambria" w:eastAsia="Cambria" w:cs="" w:asciiTheme="minorHAnsi" w:hAnsiTheme="minorHAnsi" w:eastAsiaTheme="minorHAnsi" w:cstheme="minorBid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before="240" w:after="0" w:line="259" w:lineRule="auto"/>
      <w:outlineLvl w:val="9"/>
    </w:pPr>
    <w:rPr>
      <w:rFonts w:ascii="Calibri" w:hAnsi="Calibri" w:eastAsia="" w:cs="" w:asciiTheme="majorHAnsi" w:hAnsiTheme="majorHAnsi" w:eastAsiaTheme="majorEastAsia" w:cstheme="majorBidi"/>
      <w:b w:val="false"/>
      <w:bCs w:val="false"/>
      <w:color w:val="365F91" w:themeColor="accent1" w:themeShade="bf"/>
    </w:rPr>
  </w:style>
  <w:style w:type="paragraph" w:styleId="SourceCode" w:customStyle="1">
    <w:name w:val="Source Code"/>
    <w:basedOn w:val="Normal"/>
    <w:link w:val="VerbatimChar"/>
    <w:qFormat/>
    <w:pPr/>
    <w:rPr/>
  </w:style>
  <w:style w:type="table" w:styleId="Table" w:default="1">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 Type="http://schemas.openxmlformats.org/officeDocument/2006/relationships/image" Target="/media/image3.png" Id="rId426948052" /><Relationship Type="http://schemas.openxmlformats.org/officeDocument/2006/relationships/image" Target="/media/image4.png" Id="rId1517619869"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2025-11-03T22:48:36.0000000Z</dcterms:created>
  <dc:creator/>
  <dc:description/>
  <dc:language>en-US</dc:language>
  <lastModifiedBy>Walton, Ethan Abel</lastModifiedBy>
  <dcterms:modified xsi:type="dcterms:W3CDTF">2025-11-03T22:55:25.5081625Z</dcterms:modified>
  <revision>2</revision>
  <dc:subject/>
  <dc:title/>
</coreProperties>
</file>

<file path=docProps/custom.xml><?xml version="1.0" encoding="utf-8"?>
<Properties xmlns="http://schemas.openxmlformats.org/officeDocument/2006/custom-properties" xmlns:vt="http://schemas.openxmlformats.org/officeDocument/2006/docPropsVTypes"/>
</file>