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A9FA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文鼎大标宋简" w:hAnsi="宋体" w:eastAsia="文鼎大标宋简"/>
          <w:b/>
          <w:bCs/>
          <w:sz w:val="36"/>
          <w:szCs w:val="28"/>
        </w:rPr>
      </w:pPr>
      <w:r>
        <w:rPr>
          <w:rFonts w:hint="eastAsia" w:ascii="文鼎大标宋简" w:hAnsi="宋体" w:eastAsia="文鼎大标宋简"/>
          <w:b/>
          <w:bCs/>
          <w:sz w:val="36"/>
          <w:szCs w:val="28"/>
        </w:rPr>
        <w:t>北京邮电大学实验报告</w:t>
      </w:r>
    </w:p>
    <w:tbl>
      <w:tblPr>
        <w:tblStyle w:val="6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463"/>
        <w:gridCol w:w="675"/>
        <w:gridCol w:w="945"/>
        <w:gridCol w:w="2255"/>
        <w:gridCol w:w="1262"/>
        <w:gridCol w:w="1163"/>
      </w:tblGrid>
      <w:tr w14:paraId="3196B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417" w:type="dxa"/>
            <w:noWrap w:val="0"/>
            <w:vAlign w:val="center"/>
          </w:tcPr>
          <w:p w14:paraId="73C019D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实验名称</w:t>
            </w:r>
          </w:p>
        </w:tc>
        <w:tc>
          <w:tcPr>
            <w:tcW w:w="2138" w:type="dxa"/>
            <w:gridSpan w:val="2"/>
            <w:noWrap w:val="0"/>
            <w:vAlign w:val="center"/>
          </w:tcPr>
          <w:p w14:paraId="530734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计算机网络实验一</w:t>
            </w:r>
          </w:p>
        </w:tc>
        <w:tc>
          <w:tcPr>
            <w:tcW w:w="945" w:type="dxa"/>
            <w:noWrap w:val="0"/>
            <w:vAlign w:val="center"/>
          </w:tcPr>
          <w:p w14:paraId="0AE1DF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院</w:t>
            </w:r>
          </w:p>
        </w:tc>
        <w:tc>
          <w:tcPr>
            <w:tcW w:w="2255" w:type="dxa"/>
            <w:noWrap w:val="0"/>
            <w:vAlign w:val="center"/>
          </w:tcPr>
          <w:p w14:paraId="7F02377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幼圆"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网络空间安全</w:t>
            </w:r>
            <w:r>
              <w:rPr>
                <w:rFonts w:hint="eastAsia" w:ascii="幼圆" w:hAnsi="宋体" w:eastAsia="幼圆"/>
                <w:bCs/>
                <w:sz w:val="24"/>
                <w:lang w:val="en-US" w:eastAsia="zh-CN"/>
              </w:rPr>
              <w:t>学院</w:t>
            </w:r>
          </w:p>
        </w:tc>
        <w:tc>
          <w:tcPr>
            <w:tcW w:w="1262" w:type="dxa"/>
            <w:noWrap w:val="0"/>
            <w:vAlign w:val="center"/>
          </w:tcPr>
          <w:p w14:paraId="7E180D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指导教师</w:t>
            </w:r>
          </w:p>
        </w:tc>
        <w:tc>
          <w:tcPr>
            <w:tcW w:w="1163" w:type="dxa"/>
            <w:noWrap w:val="0"/>
            <w:vAlign w:val="center"/>
          </w:tcPr>
          <w:p w14:paraId="6B8BE01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幼圆" w:hAnsi="宋体" w:eastAsia="幼圆"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Cs/>
                <w:sz w:val="24"/>
                <w:lang w:val="en-US" w:eastAsia="zh-CN"/>
              </w:rPr>
              <w:t>刘建毅</w:t>
            </w:r>
          </w:p>
        </w:tc>
      </w:tr>
      <w:tr w14:paraId="05601E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417" w:type="dxa"/>
            <w:noWrap w:val="0"/>
            <w:vAlign w:val="center"/>
          </w:tcPr>
          <w:p w14:paraId="50C170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 级</w:t>
            </w:r>
          </w:p>
        </w:tc>
        <w:tc>
          <w:tcPr>
            <w:tcW w:w="1463" w:type="dxa"/>
            <w:noWrap w:val="0"/>
            <w:vAlign w:val="center"/>
          </w:tcPr>
          <w:p w14:paraId="1F0DF6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班内序号</w:t>
            </w:r>
          </w:p>
        </w:tc>
        <w:tc>
          <w:tcPr>
            <w:tcW w:w="1620" w:type="dxa"/>
            <w:gridSpan w:val="2"/>
            <w:noWrap w:val="0"/>
            <w:vAlign w:val="center"/>
          </w:tcPr>
          <w:p w14:paraId="1A155F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号</w:t>
            </w:r>
          </w:p>
        </w:tc>
        <w:tc>
          <w:tcPr>
            <w:tcW w:w="2255" w:type="dxa"/>
            <w:noWrap w:val="0"/>
            <w:vAlign w:val="center"/>
          </w:tcPr>
          <w:p w14:paraId="3B6B177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学生姓名</w:t>
            </w:r>
          </w:p>
        </w:tc>
        <w:tc>
          <w:tcPr>
            <w:tcW w:w="2425" w:type="dxa"/>
            <w:gridSpan w:val="2"/>
            <w:noWrap w:val="0"/>
            <w:vAlign w:val="center"/>
          </w:tcPr>
          <w:p w14:paraId="7B9197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成绩</w:t>
            </w:r>
          </w:p>
        </w:tc>
      </w:tr>
      <w:tr w14:paraId="1AE1E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417" w:type="dxa"/>
            <w:noWrap w:val="0"/>
            <w:vAlign w:val="center"/>
          </w:tcPr>
          <w:p w14:paraId="45F048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2023211801</w:t>
            </w:r>
          </w:p>
        </w:tc>
        <w:tc>
          <w:tcPr>
            <w:tcW w:w="1463" w:type="dxa"/>
            <w:noWrap w:val="0"/>
            <w:vAlign w:val="center"/>
          </w:tcPr>
          <w:p w14:paraId="38BCA5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幼圆" w:hAnsi="宋体" w:eastAsia="幼圆"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Cs/>
                <w:sz w:val="24"/>
                <w:lang w:val="en-US" w:eastAsia="zh-CN"/>
              </w:rPr>
              <w:t>27</w:t>
            </w:r>
          </w:p>
        </w:tc>
        <w:tc>
          <w:tcPr>
            <w:tcW w:w="1620" w:type="dxa"/>
            <w:gridSpan w:val="2"/>
            <w:noWrap w:val="0"/>
            <w:vAlign w:val="center"/>
          </w:tcPr>
          <w:p w14:paraId="295382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幼圆" w:hAnsi="宋体" w:eastAsia="幼圆"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Cs/>
                <w:sz w:val="24"/>
                <w:lang w:val="en-US" w:eastAsia="zh-CN"/>
              </w:rPr>
              <w:t>2023211616</w:t>
            </w:r>
          </w:p>
        </w:tc>
        <w:tc>
          <w:tcPr>
            <w:tcW w:w="2255" w:type="dxa"/>
            <w:noWrap w:val="0"/>
            <w:vAlign w:val="center"/>
          </w:tcPr>
          <w:p w14:paraId="70F083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Cs/>
                <w:sz w:val="24"/>
                <w:lang w:val="en-US" w:eastAsia="zh-CN"/>
              </w:rPr>
            </w:pPr>
            <w:r>
              <w:rPr>
                <w:rFonts w:hint="eastAsia" w:ascii="幼圆" w:hAnsi="宋体" w:eastAsia="幼圆"/>
                <w:bCs/>
                <w:sz w:val="24"/>
                <w:lang w:val="en-US" w:eastAsia="zh-CN"/>
              </w:rPr>
              <w:t>詹冲</w:t>
            </w:r>
          </w:p>
        </w:tc>
        <w:tc>
          <w:tcPr>
            <w:tcW w:w="2425" w:type="dxa"/>
            <w:gridSpan w:val="2"/>
            <w:noWrap w:val="0"/>
            <w:vAlign w:val="center"/>
          </w:tcPr>
          <w:p w14:paraId="4E6BC2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Cs/>
                <w:sz w:val="24"/>
              </w:rPr>
            </w:pPr>
          </w:p>
        </w:tc>
      </w:tr>
      <w:tr w14:paraId="2A0905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1" w:hRule="atLeast"/>
        </w:trPr>
        <w:tc>
          <w:tcPr>
            <w:tcW w:w="1417" w:type="dxa"/>
            <w:noWrap w:val="0"/>
            <w:vAlign w:val="center"/>
          </w:tcPr>
          <w:p w14:paraId="3B0DE4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</w:t>
            </w:r>
          </w:p>
          <w:p w14:paraId="44946B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验</w:t>
            </w:r>
          </w:p>
          <w:p w14:paraId="158E080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内</w:t>
            </w:r>
          </w:p>
          <w:p w14:paraId="7B9B19D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容</w:t>
            </w:r>
          </w:p>
        </w:tc>
        <w:tc>
          <w:tcPr>
            <w:tcW w:w="7763" w:type="dxa"/>
            <w:gridSpan w:val="6"/>
            <w:noWrap w:val="0"/>
            <w:vAlign w:val="top"/>
          </w:tcPr>
          <w:p w14:paraId="3BF16DE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宋体" w:hAnsi="宋体"/>
                <w:sz w:val="20"/>
                <w:szCs w:val="18"/>
              </w:rPr>
            </w:pPr>
          </w:p>
          <w:p w14:paraId="275BAA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宋体" w:hAnsi="宋体"/>
                <w:sz w:val="20"/>
                <w:szCs w:val="18"/>
              </w:rPr>
            </w:pPr>
          </w:p>
          <w:p w14:paraId="68F1C5A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宋体" w:hAnsi="宋体"/>
                <w:sz w:val="20"/>
                <w:szCs w:val="18"/>
              </w:rPr>
            </w:pPr>
          </w:p>
          <w:p w14:paraId="3D723DF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本次实验主要包含下列内容：</w:t>
            </w:r>
          </w:p>
          <w:p w14:paraId="2AEC349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宋体" w:hAnsi="宋体"/>
                <w:sz w:val="21"/>
                <w:szCs w:val="21"/>
              </w:rPr>
            </w:pP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、</w:t>
            </w: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使用Wireshark软件捕获HTTP消息，分析其消息头，理解HTTP的通信原理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。</w:t>
            </w:r>
          </w:p>
          <w:p w14:paraId="75E877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宋体" w:hAnsi="宋体"/>
                <w:sz w:val="21"/>
                <w:szCs w:val="21"/>
              </w:rPr>
            </w:pP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、</w:t>
            </w: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使用Wireshark软件捕获一次从客户端发送Email的过程，分析SMTP消息，理解Email系统中发送邮件的通信原理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。</w:t>
            </w:r>
          </w:p>
          <w:p w14:paraId="719926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/>
                <w:sz w:val="20"/>
                <w:szCs w:val="18"/>
              </w:rPr>
            </w:pP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、</w:t>
            </w:r>
            <w:r>
              <w:rPr>
                <w:rFonts w:hint="default" w:ascii="宋体" w:hAnsi="宋体"/>
                <w:sz w:val="21"/>
                <w:szCs w:val="21"/>
                <w:lang w:val="en-US" w:eastAsia="zh-CN"/>
              </w:rPr>
              <w:t>使用Telnet软件访问Email服务器，输入SMTP命令与Email服务器交互，理解SMTP的通信过程和Base64编码的概念。</w:t>
            </w:r>
          </w:p>
        </w:tc>
      </w:tr>
      <w:tr w14:paraId="5D6659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9" w:hRule="atLeast"/>
        </w:trPr>
        <w:tc>
          <w:tcPr>
            <w:tcW w:w="1417" w:type="dxa"/>
            <w:noWrap w:val="0"/>
            <w:vAlign w:val="center"/>
          </w:tcPr>
          <w:p w14:paraId="3C819B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</w:t>
            </w:r>
          </w:p>
          <w:p w14:paraId="5E731C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实验</w:t>
            </w:r>
          </w:p>
          <w:p w14:paraId="74784D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报告</w:t>
            </w:r>
          </w:p>
          <w:p w14:paraId="582555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pacing w:val="-8"/>
                <w:w w:val="90"/>
                <w:sz w:val="24"/>
              </w:rPr>
            </w:pPr>
            <w:r>
              <w:rPr>
                <w:rFonts w:hint="eastAsia" w:ascii="幼圆" w:hAnsi="宋体" w:eastAsia="幼圆"/>
                <w:spacing w:val="-8"/>
                <w:w w:val="90"/>
                <w:sz w:val="24"/>
              </w:rPr>
              <w:t>（附页）</w:t>
            </w:r>
          </w:p>
        </w:tc>
        <w:tc>
          <w:tcPr>
            <w:tcW w:w="7763" w:type="dxa"/>
            <w:gridSpan w:val="6"/>
            <w:noWrap w:val="0"/>
            <w:vAlign w:val="top"/>
          </w:tcPr>
          <w:p w14:paraId="68ABC86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幼圆" w:hAnsi="宋体" w:eastAsia="幼圆"/>
                <w:sz w:val="24"/>
                <w:lang w:val="en-US" w:eastAsia="zh-CN"/>
              </w:rPr>
            </w:pPr>
          </w:p>
          <w:p w14:paraId="1B023D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幼圆" w:hAnsi="宋体" w:eastAsia="幼圆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见下方《实验报告》</w:t>
            </w:r>
          </w:p>
        </w:tc>
      </w:tr>
      <w:tr w14:paraId="2BFBC2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0" w:hRule="atLeast"/>
        </w:trPr>
        <w:tc>
          <w:tcPr>
            <w:tcW w:w="1417" w:type="dxa"/>
            <w:noWrap w:val="0"/>
            <w:vAlign w:val="center"/>
          </w:tcPr>
          <w:p w14:paraId="52F6F9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</w:t>
            </w:r>
          </w:p>
          <w:p w14:paraId="62FE94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验</w:t>
            </w:r>
          </w:p>
          <w:p w14:paraId="458638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</w:t>
            </w:r>
          </w:p>
          <w:p w14:paraId="3D5F785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绩</w:t>
            </w:r>
          </w:p>
          <w:p w14:paraId="5E80E1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评</w:t>
            </w:r>
          </w:p>
          <w:p w14:paraId="63C1951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定</w:t>
            </w:r>
          </w:p>
        </w:tc>
        <w:tc>
          <w:tcPr>
            <w:tcW w:w="7763" w:type="dxa"/>
            <w:gridSpan w:val="6"/>
            <w:noWrap w:val="0"/>
            <w:vAlign w:val="top"/>
          </w:tcPr>
          <w:p w14:paraId="2A58C2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82" w:firstLineChars="200"/>
              <w:textAlignment w:val="auto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评语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hint="eastAsia" w:ascii="幼圆" w:hAnsi="宋体" w:eastAsia="幼圆"/>
                <w:szCs w:val="21"/>
              </w:rPr>
              <w:t xml:space="preserve"> </w:t>
            </w:r>
          </w:p>
          <w:p w14:paraId="3C4BBE1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hint="eastAsia" w:ascii="幼圆" w:hAnsi="宋体" w:eastAsia="幼圆"/>
                <w:b/>
                <w:sz w:val="24"/>
              </w:rPr>
            </w:pPr>
          </w:p>
          <w:p w14:paraId="3E56467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5F2FF6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1C9F7F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2C7B66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006E0F4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3DEE960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ascii="幼圆" w:hAnsi="宋体" w:eastAsia="幼圆"/>
                <w:b/>
                <w:sz w:val="24"/>
              </w:rPr>
            </w:pPr>
          </w:p>
          <w:p w14:paraId="00ABCB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72" w:firstLineChars="196"/>
              <w:textAlignment w:val="auto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成绩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ascii="幼圆" w:hAnsi="宋体" w:eastAsia="幼圆"/>
                <w:sz w:val="24"/>
              </w:rPr>
              <w:t xml:space="preserve"> </w:t>
            </w:r>
          </w:p>
          <w:p w14:paraId="7AFB431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3780" w:firstLineChars="1800"/>
              <w:textAlignment w:val="auto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指导教师签名：    </w:t>
            </w:r>
          </w:p>
          <w:p w14:paraId="0EBDB9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3780" w:firstLineChars="1800"/>
              <w:textAlignment w:val="auto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         </w:t>
            </w:r>
          </w:p>
          <w:p w14:paraId="03F118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560" w:firstLineChars="1900"/>
              <w:textAlignment w:val="auto"/>
              <w:rPr>
                <w:rFonts w:hint="eastAsia" w:ascii="幼圆" w:hAnsi="宋体" w:eastAsia="幼圆"/>
                <w:sz w:val="24"/>
              </w:rPr>
            </w:pPr>
          </w:p>
          <w:p w14:paraId="73A647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560" w:firstLineChars="1900"/>
              <w:textAlignment w:val="auto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sz w:val="24"/>
              </w:rPr>
              <w:t>年    月     日</w:t>
            </w:r>
          </w:p>
        </w:tc>
      </w:tr>
    </w:tbl>
    <w:p w14:paraId="5816293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rPr>
          <w:rFonts w:hint="eastAsia"/>
        </w:rPr>
        <w:t>注：评语要体现每个学生的工作情况，可以加页。</w:t>
      </w:r>
    </w:p>
    <w:p w14:paraId="46B6EC3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</w:rPr>
      </w:pPr>
      <w:r>
        <w:rPr>
          <w:rFonts w:hint="eastAsia"/>
        </w:rPr>
        <w:br w:type="page"/>
      </w:r>
    </w:p>
    <w:p w14:paraId="35F7F4E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实验一 应用层协议消息的捕获和解析</w:t>
      </w:r>
    </w:p>
    <w:p w14:paraId="4086761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一、实验内容和实验步骤描述</w:t>
      </w:r>
    </w:p>
    <w:p w14:paraId="76C9171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1.实验目的</w:t>
      </w:r>
    </w:p>
    <w:p w14:paraId="106CB3B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深入理解典型的应用层协议——HTTP和SMTP的要点。</w:t>
      </w:r>
    </w:p>
    <w:p w14:paraId="2DB1515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52BDDDF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2.实验内容</w:t>
      </w:r>
    </w:p>
    <w:p w14:paraId="752A30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（1）使用Wireshark软件捕获HTTP消息，分析其消息头，理解HTTP的通信原理。</w:t>
      </w:r>
    </w:p>
    <w:p w14:paraId="52EAF9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（2）使用Wireshark软件捕获一次从客户端发送Email的过程，分析SMTP消息，理解Email系统中发送邮件的通信原理。</w:t>
      </w:r>
    </w:p>
    <w:p w14:paraId="4A9807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（3）使用Telnet软件访问Email服务器，输入SMTP命令与Email服务器交互，理解SMTP的通信过程和Base64编码的概念。</w:t>
      </w:r>
    </w:p>
    <w:p w14:paraId="439D00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236722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3.实验环境</w:t>
      </w:r>
    </w:p>
    <w:p w14:paraId="66F3D8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（1）Windows 11</w:t>
      </w:r>
    </w:p>
    <w:p w14:paraId="4A598A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（2）Wireshark 4.4.5</w:t>
      </w:r>
    </w:p>
    <w:p w14:paraId="7BF2E8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4940EE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4.实验步骤</w:t>
      </w:r>
    </w:p>
    <w:p w14:paraId="73598C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（1）准备工作</w:t>
      </w:r>
    </w:p>
    <w:p w14:paraId="1E5826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1）在浏览器中搜索wireshark官网，下载wireshark软件并了解其功能和使用方法。</w:t>
      </w:r>
    </w:p>
    <w:p w14:paraId="20A3A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22860</wp:posOffset>
            </wp:positionV>
            <wp:extent cx="5746115" cy="2324100"/>
            <wp:effectExtent l="0" t="0" r="14605" b="7620"/>
            <wp:wrapTopAndBottom/>
            <wp:docPr id="4" name="图片 4" descr="屏幕截图 2025-04-06 2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4-06 2323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832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2）确保计算机已经连接到网络。</w:t>
      </w:r>
    </w:p>
    <w:p w14:paraId="58EAF8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8815" cy="2311400"/>
            <wp:effectExtent l="0" t="0" r="1905" b="5080"/>
            <wp:docPr id="27" name="图片 27" descr="屏幕截图 2025-04-06 2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5-04-06 2349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C9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C39BF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3）启动 Wireshark，选择捕获接口为联网的本机网卡（本地连接或 WLAN），设置合适的捕获 </w:t>
      </w:r>
    </w:p>
    <w:p w14:paraId="22A6E1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过滤器： </w:t>
      </w:r>
    </w:p>
    <w:p w14:paraId="17694F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对于 HTTP 消息，设置捕获过滤器为 tcp port 80</w:t>
      </w:r>
    </w:p>
    <w:p w14:paraId="383B25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20" w:lef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对于 SMTP 消息，设置捕获过滤器为 tcp port 25</w:t>
      </w:r>
    </w:p>
    <w:p w14:paraId="6478CC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</wp:posOffset>
                </wp:positionH>
                <wp:positionV relativeFrom="paragraph">
                  <wp:posOffset>452120</wp:posOffset>
                </wp:positionV>
                <wp:extent cx="499745" cy="103505"/>
                <wp:effectExtent l="12700" t="12700" r="20955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7605" y="5956935"/>
                          <a:ext cx="499745" cy="103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7pt;margin-top:35.6pt;height:8.15pt;width:39.35pt;z-index:251661312;v-text-anchor:middle;mso-width-relative:page;mso-height-relative:page;" filled="f" stroked="t" coordsize="21600,21600" o:gfxdata="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N/c9fjY&#10;AAAACAEAAA8AAAAAAAAAAQAgAAAAIgAAAGRycy9kb3ducmV2LnhtbFBLAQIUABQAAAAIAIdO4kBO&#10;hysSywIAAKkFAAAOAAAAAAAAAAEAIAAAACcBAABkcnMvZTJvRG9jLnhtbFBLBQYAAAAABgAGAFkB&#10;AABk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269240</wp:posOffset>
                </wp:positionV>
                <wp:extent cx="650875" cy="127000"/>
                <wp:effectExtent l="12700" t="12700" r="22225" b="127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9730" y="5766435"/>
                          <a:ext cx="65087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5pt;margin-top:21.2pt;height:10pt;width:51.25pt;z-index:251660288;v-text-anchor:middle;mso-width-relative:page;mso-height-relative:page;" filled="f" stroked="t" coordsize="21600,21600" o:gfxdata="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Taf8&#10;2NgAAAAJAQAADwAAAAAAAAABACAAAAAiAAAAZHJzL2Rvd25yZXYueG1sUEsBAhQAFAAAAAgAh07i&#10;QJPT6X3NAgAAqQUAAA4AAAAAAAAAAQAgAAAAJwEAAGRycy9lMm9Eb2MueG1sUEsFBgAAAAAGAAYA&#10;WQEAAGY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82945" cy="1279525"/>
            <wp:effectExtent l="0" t="0" r="0" b="0"/>
            <wp:docPr id="15" name="图片 15" descr="屏幕截图 2025-04-06 23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4-06 235035"/>
                    <pic:cNvPicPr>
                      <a:picLocks noChangeAspect="1"/>
                    </pic:cNvPicPr>
                  </pic:nvPicPr>
                  <pic:blipFill>
                    <a:blip r:embed="rId6"/>
                    <a:srcRect l="-441" t="5319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F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A0E1C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4）至此准备结束，可以开始捕获数据包。</w:t>
      </w:r>
    </w:p>
    <w:p w14:paraId="1B4598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1F9F1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（2）捕获 HTTP 协议数据</w:t>
      </w:r>
    </w:p>
    <w:p w14:paraId="14F786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1）打开浏览器，从设置中清除 cookie 数据（访问记录）。</w:t>
      </w:r>
    </w:p>
    <w:p w14:paraId="7D7040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5640" cy="3961130"/>
            <wp:effectExtent l="0" t="0" r="5080" b="1270"/>
            <wp:docPr id="16" name="图片 16" descr="屏幕截图 2025-04-06 23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4-06 235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8F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2037B7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2）配置wireshark，选择捕获接口为WLAN，设置捕获过滤器为tcp port 80，并且开始捕获。</w:t>
      </w:r>
    </w:p>
    <w:p w14:paraId="6CA047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82945" cy="1279525"/>
            <wp:effectExtent l="0" t="0" r="8255" b="635"/>
            <wp:docPr id="30" name="图片 30" descr="屏幕截图 2025-04-06 23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5-04-06 235035"/>
                    <pic:cNvPicPr>
                      <a:picLocks noChangeAspect="1"/>
                    </pic:cNvPicPr>
                  </pic:nvPicPr>
                  <pic:blipFill>
                    <a:blip r:embed="rId6"/>
                    <a:srcRect l="-441" t="5319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01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709A9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3）选择一个非HTTPS协议的网站，在地址栏里输入其 URL，如访问http://www.xinhuanet.com。</w:t>
      </w:r>
    </w:p>
    <w:p w14:paraId="05B22D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5640" cy="2573020"/>
            <wp:effectExtent l="0" t="0" r="5080" b="2540"/>
            <wp:docPr id="19" name="图片 19" descr="屏幕截图 2025-04-07 00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4-07 0008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0A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49B95B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4）网页全部显示后停止捕获，并且从中筛选HTTP协议的包。</w:t>
      </w:r>
    </w:p>
    <w:p w14:paraId="7BCBA7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8180" cy="2865120"/>
            <wp:effectExtent l="0" t="0" r="2540" b="0"/>
            <wp:docPr id="17" name="图片 17" descr="屏幕截图 2025-04-06 23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4-06 2352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1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61D079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（3）捕获 SMTP 协议数据</w:t>
      </w:r>
    </w:p>
    <w:p w14:paraId="056680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1）下载并安装邮件客户端软件（如 Foxmail）。</w:t>
      </w:r>
    </w:p>
    <w:p w14:paraId="68E966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2465" cy="3165475"/>
            <wp:effectExtent l="0" t="0" r="8255" b="4445"/>
            <wp:docPr id="20" name="图片 20" descr="屏幕截图 2025-04-06 2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4-06 2353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FB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39E212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2）配置用户账户，设置发件服务器不选择 SSL，端口为 25。</w:t>
      </w:r>
    </w:p>
    <w:p w14:paraId="50A4E6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6275" cy="5546725"/>
            <wp:effectExtent l="0" t="0" r="4445" b="635"/>
            <wp:docPr id="21" name="图片 21" descr="屏幕截图 2025-04-06 23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4-06 2353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A4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2703D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3）配置wireshark，选择捕获接口为WLAN，设置捕获过滤器为tcp port 80，并且开始捕获。</w:t>
      </w:r>
    </w:p>
    <w:p w14:paraId="5B451B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803265" cy="1263015"/>
            <wp:effectExtent l="0" t="0" r="0" b="0"/>
            <wp:docPr id="22" name="图片 22" descr="屏幕截图 2025-04-06 23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4-06 235503"/>
                    <pic:cNvPicPr>
                      <a:picLocks noChangeAspect="1"/>
                    </pic:cNvPicPr>
                  </pic:nvPicPr>
                  <pic:blipFill>
                    <a:blip r:embed="rId12"/>
                    <a:srcRect l="-872" t="54537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0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05F8AE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4）用 Foxmail 发送一封邮件，邮件发送成功后停止捕获并筛选SMTP协议的包。</w:t>
      </w:r>
    </w:p>
    <w:p w14:paraId="1B4B0A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8180" cy="3007995"/>
            <wp:effectExtent l="0" t="0" r="2540" b="9525"/>
            <wp:docPr id="23" name="图片 23" descr="屏幕截图 2025-04-06 23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04-06 2356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60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86835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（4）使用 SMTP 命令与邮件服务器交互</w:t>
      </w:r>
    </w:p>
    <w:p w14:paraId="3D05D2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1）首先开启telnet服务，打开控制面板-&gt;程序-&gt;启动或关闭windows功能-&gt;勾选Telnet Client-&gt;点击确定，即可启动telnet服务。</w:t>
      </w:r>
    </w:p>
    <w:p w14:paraId="5B2735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8180" cy="2538095"/>
            <wp:effectExtent l="0" t="0" r="2540" b="6985"/>
            <wp:docPr id="26" name="图片 26" descr="屏幕截图 2025-04-06 23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5-04-06 2359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0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544EB6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2）在命令行模式，使用 telnet 程序连接到发件服务器。</w:t>
      </w:r>
    </w:p>
    <w:p w14:paraId="05199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4370" cy="2939415"/>
            <wp:effectExtent l="0" t="0" r="6350" b="1905"/>
            <wp:docPr id="24" name="图片 24" descr="屏幕截图 2025-04-06 23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5-04-06 2357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7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692D49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3）根据常用的SMTP命令表，输入 SMTP 命令，与邮件服务器交互，并成功发送一份短信。</w:t>
      </w:r>
    </w:p>
    <w:p w14:paraId="0F4311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5005" cy="3587115"/>
            <wp:effectExtent l="0" t="0" r="5715" b="9525"/>
            <wp:docPr id="25" name="图片 25" descr="屏幕截图 2025-04-06 22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5-04-06 2204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0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FF98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二、HTTP协议分析</w:t>
      </w:r>
    </w:p>
    <w:p w14:paraId="040859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046226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1.HTTP的功能</w:t>
      </w:r>
    </w:p>
    <w:p w14:paraId="2F992A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HTTP（超文本传输协议）是用于在客户端和服务器之间传输数据的协议，尤其是用于Web浏览器（客户端）与Web服务器之间的通信。它的主要作用是确保客户端能够向服务器发送请求，并从服务器获取资源（如网页、图片、视频等）。具体来说，HTTP协议定义了请求和响应的格式，以及如何在网络上交换数据。</w:t>
      </w:r>
    </w:p>
    <w:p w14:paraId="66EF30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0433D6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2.HTTP的通信过程</w:t>
      </w:r>
    </w:p>
    <w:p w14:paraId="6ED4CB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（1）用户在浏览器的地址栏中输入一个URL，浏览器分析该URL即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http://www.xinhuanet.com。</w:t>
      </w:r>
    </w:p>
    <w:p w14:paraId="5AB090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（2）浏览器使用通过DNS解析获得服务器（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http://www.xinhuanet.com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）的IP地址。</w:t>
      </w:r>
    </w:p>
    <w:p w14:paraId="46FAE5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（3）浏览器建立到服务器的TCP连接。</w:t>
      </w:r>
    </w:p>
    <w:p w14:paraId="26A3C3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（4）浏览器向服务器发送HTTP请求。</w:t>
      </w:r>
    </w:p>
    <w:p w14:paraId="4AE73E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（5）服务器接收到请求后，发送HTTP响应。</w:t>
      </w:r>
    </w:p>
    <w:p w14:paraId="63A96D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（6）浏览器显示网页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http://www.xinhuanet.com。</w:t>
      </w:r>
    </w:p>
    <w:p w14:paraId="025BFD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（7）通信完成之后释放TCP连接。</w:t>
      </w:r>
    </w:p>
    <w:p w14:paraId="495513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366CD4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3.HTTP请求消息分析</w:t>
      </w:r>
    </w:p>
    <w:p w14:paraId="3ED9BFE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014470" cy="2252980"/>
            <wp:effectExtent l="0" t="0" r="8890" b="2540"/>
            <wp:docPr id="32" name="图片 32" descr="屏幕截图 2025-04-07 12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5-04-07 122758"/>
                    <pic:cNvPicPr>
                      <a:picLocks noChangeAspect="1"/>
                    </pic:cNvPicPr>
                  </pic:nvPicPr>
                  <pic:blipFill>
                    <a:blip r:embed="rId17"/>
                    <a:srcRect t="84" r="41968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992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063366E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HTTP请求消息常见字段名及其功能</w:t>
      </w:r>
    </w:p>
    <w:tbl>
      <w:tblPr>
        <w:tblStyle w:val="7"/>
        <w:tblW w:w="1046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17"/>
        <w:gridCol w:w="2246"/>
        <w:gridCol w:w="3000"/>
        <w:gridCol w:w="3800"/>
      </w:tblGrid>
      <w:tr w14:paraId="530D7B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vAlign w:val="center"/>
          </w:tcPr>
          <w:p w14:paraId="4AC21D6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状态行</w:t>
            </w:r>
          </w:p>
        </w:tc>
        <w:tc>
          <w:tcPr>
            <w:tcW w:w="2246" w:type="dxa"/>
            <w:vAlign w:val="center"/>
          </w:tcPr>
          <w:p w14:paraId="44ABD497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功能</w:t>
            </w:r>
          </w:p>
        </w:tc>
        <w:tc>
          <w:tcPr>
            <w:tcW w:w="3000" w:type="dxa"/>
            <w:vAlign w:val="center"/>
          </w:tcPr>
          <w:p w14:paraId="59B02B2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现有值</w:t>
            </w:r>
          </w:p>
        </w:tc>
        <w:tc>
          <w:tcPr>
            <w:tcW w:w="3800" w:type="dxa"/>
            <w:vAlign w:val="center"/>
          </w:tcPr>
          <w:p w14:paraId="3FA063C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现有值含义</w:t>
            </w:r>
          </w:p>
        </w:tc>
      </w:tr>
      <w:tr w14:paraId="215164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shd w:val="clear"/>
            <w:vAlign w:val="center"/>
          </w:tcPr>
          <w:p w14:paraId="24EC152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HTTP请求行</w:t>
            </w:r>
          </w:p>
        </w:tc>
        <w:tc>
          <w:tcPr>
            <w:tcW w:w="2246" w:type="dxa"/>
            <w:shd w:val="clear"/>
            <w:vAlign w:val="center"/>
          </w:tcPr>
          <w:p w14:paraId="19B1789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说明请求方法，请求资源和协议版本</w:t>
            </w:r>
          </w:p>
        </w:tc>
        <w:tc>
          <w:tcPr>
            <w:tcW w:w="3000" w:type="dxa"/>
            <w:vAlign w:val="center"/>
          </w:tcPr>
          <w:p w14:paraId="2A0A8F9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GET / HTTP/1.1</w:t>
            </w:r>
          </w:p>
        </w:tc>
        <w:tc>
          <w:tcPr>
            <w:tcW w:w="3800" w:type="dxa"/>
            <w:vAlign w:val="center"/>
          </w:tcPr>
          <w:p w14:paraId="0EEB174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GET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表示获取资源，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/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是根目录，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HTTP/1.1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表示协议版本。</w:t>
            </w:r>
          </w:p>
        </w:tc>
      </w:tr>
      <w:tr w14:paraId="3F9D5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323" w:hRule="atLeast"/>
          <w:jc w:val="center"/>
        </w:trPr>
        <w:tc>
          <w:tcPr>
            <w:tcW w:w="1417" w:type="dxa"/>
            <w:shd w:val="clear"/>
            <w:vAlign w:val="center"/>
          </w:tcPr>
          <w:p w14:paraId="5764BD2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Host</w:t>
            </w:r>
          </w:p>
        </w:tc>
        <w:tc>
          <w:tcPr>
            <w:tcW w:w="2246" w:type="dxa"/>
            <w:shd w:val="clear"/>
            <w:vAlign w:val="center"/>
          </w:tcPr>
          <w:p w14:paraId="143392F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指定目标主机的域名</w:t>
            </w:r>
          </w:p>
        </w:tc>
        <w:tc>
          <w:tcPr>
            <w:tcW w:w="3000" w:type="dxa"/>
            <w:vAlign w:val="center"/>
          </w:tcPr>
          <w:p w14:paraId="0C96131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www.xinhuanet.com</w:t>
            </w:r>
          </w:p>
        </w:tc>
        <w:tc>
          <w:tcPr>
            <w:tcW w:w="3800" w:type="dxa"/>
            <w:vAlign w:val="center"/>
          </w:tcPr>
          <w:p w14:paraId="602121B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请求将被发送到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www.xinhuanet.com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这个网站。</w:t>
            </w:r>
          </w:p>
        </w:tc>
      </w:tr>
      <w:tr w14:paraId="4C96B0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41" w:hRule="atLeast"/>
          <w:jc w:val="center"/>
        </w:trPr>
        <w:tc>
          <w:tcPr>
            <w:tcW w:w="1417" w:type="dxa"/>
            <w:vAlign w:val="center"/>
          </w:tcPr>
          <w:p w14:paraId="4C424B11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Connection</w:t>
            </w:r>
          </w:p>
        </w:tc>
        <w:tc>
          <w:tcPr>
            <w:tcW w:w="2246" w:type="dxa"/>
            <w:vAlign w:val="center"/>
          </w:tcPr>
          <w:p w14:paraId="005E3F8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指定连接的控制方式。</w:t>
            </w:r>
          </w:p>
        </w:tc>
        <w:tc>
          <w:tcPr>
            <w:tcW w:w="3000" w:type="dxa"/>
            <w:vAlign w:val="center"/>
          </w:tcPr>
          <w:p w14:paraId="7859521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keep-alive</w:t>
            </w:r>
          </w:p>
        </w:tc>
        <w:tc>
          <w:tcPr>
            <w:tcW w:w="3800" w:type="dxa"/>
            <w:vAlign w:val="center"/>
          </w:tcPr>
          <w:p w14:paraId="70DB6C5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keep-alive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表示连接保持活动状态，服务器可以在同一个连接上处理多个请求，从而减少每次请求时的建立连接和关闭连接的开销。</w:t>
            </w:r>
          </w:p>
        </w:tc>
      </w:tr>
      <w:tr w14:paraId="3DD73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vAlign w:val="center"/>
          </w:tcPr>
          <w:p w14:paraId="02D653C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Upgrade-Insecure-Requests</w:t>
            </w:r>
          </w:p>
        </w:tc>
        <w:tc>
          <w:tcPr>
            <w:tcW w:w="2246" w:type="dxa"/>
            <w:vAlign w:val="center"/>
          </w:tcPr>
          <w:p w14:paraId="6EBCE7C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通知服务器，客户端希望通过安全（HTTPS）协议进行请求。</w:t>
            </w:r>
          </w:p>
        </w:tc>
        <w:tc>
          <w:tcPr>
            <w:tcW w:w="3000" w:type="dxa"/>
            <w:vAlign w:val="center"/>
          </w:tcPr>
          <w:p w14:paraId="35F0CF25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3800" w:type="dxa"/>
            <w:vAlign w:val="center"/>
          </w:tcPr>
          <w:p w14:paraId="185F7F9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表示客户端支持从 HTTP 升级到 HTTPS（即请求的内容最好是通过安全的 HTTPS 进行传输）。</w:t>
            </w:r>
          </w:p>
        </w:tc>
      </w:tr>
      <w:tr w14:paraId="44EE0B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vAlign w:val="center"/>
          </w:tcPr>
          <w:p w14:paraId="7D3B873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User-Agent</w:t>
            </w:r>
          </w:p>
        </w:tc>
        <w:tc>
          <w:tcPr>
            <w:tcW w:w="2246" w:type="dxa"/>
            <w:vAlign w:val="center"/>
          </w:tcPr>
          <w:p w14:paraId="01772AC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传递有关客户端浏览器和操作系统的信息。</w:t>
            </w:r>
          </w:p>
        </w:tc>
        <w:tc>
          <w:tcPr>
            <w:tcW w:w="3000" w:type="dxa"/>
            <w:vAlign w:val="center"/>
          </w:tcPr>
          <w:p w14:paraId="24A61646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Mozilla/5.0(Windows NT 10.0; Win64; x64) AppleWebKit/537.36 (KHTML, like Gecko) Chrome/135.0.0.0 Safari/537.36 Edg/135.0.0.0</w:t>
            </w:r>
          </w:p>
        </w:tc>
        <w:tc>
          <w:tcPr>
            <w:tcW w:w="3800" w:type="dxa"/>
            <w:vAlign w:val="center"/>
          </w:tcPr>
          <w:p w14:paraId="238FC9A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表示使用的是一个基于 Windows 10 操作系统的 Edge 浏览器（版本 135.0.0.0），该浏览器内核为 Chromium（Google Chrome 的内核）。</w:t>
            </w:r>
          </w:p>
        </w:tc>
      </w:tr>
      <w:tr w14:paraId="5F9AE3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47" w:hRule="atLeast"/>
          <w:jc w:val="center"/>
        </w:trPr>
        <w:tc>
          <w:tcPr>
            <w:tcW w:w="1417" w:type="dxa"/>
            <w:vAlign w:val="center"/>
          </w:tcPr>
          <w:p w14:paraId="1CADA5C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</w:t>
            </w:r>
          </w:p>
        </w:tc>
        <w:tc>
          <w:tcPr>
            <w:tcW w:w="2246" w:type="dxa"/>
            <w:vAlign w:val="center"/>
          </w:tcPr>
          <w:p w14:paraId="275518C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告诉服务器客户端能够处理的内容类型。</w:t>
            </w:r>
          </w:p>
        </w:tc>
        <w:tc>
          <w:tcPr>
            <w:tcW w:w="3000" w:type="dxa"/>
            <w:vAlign w:val="center"/>
          </w:tcPr>
          <w:p w14:paraId="77C91F28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text/html</w:t>
            </w:r>
          </w:p>
          <w:p w14:paraId="1E3F3B0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application/xhtml+xml</w:t>
            </w:r>
          </w:p>
          <w:p w14:paraId="1761A4E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application/xml</w:t>
            </w:r>
          </w:p>
          <w:p w14:paraId="2CD6D50A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q=0.9,image/avif</w:t>
            </w:r>
          </w:p>
          <w:p w14:paraId="6968866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image/webp</w:t>
            </w:r>
          </w:p>
          <w:p w14:paraId="315448E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image/apng,</w:t>
            </w:r>
          </w:p>
          <w:p w14:paraId="2376439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*/*;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q=0.8,application/signed-exchange;v=b3;q=0.7</w:t>
            </w:r>
          </w:p>
          <w:p w14:paraId="69769E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 w14:paraId="204AA4B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 w14:paraId="566A96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800" w:type="dxa"/>
            <w:vAlign w:val="center"/>
          </w:tcPr>
          <w:p w14:paraId="4DAD412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客户端接受以下类型的响应：</w:t>
            </w:r>
          </w:p>
          <w:p w14:paraId="770E0A7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text/html: HTML 文档</w:t>
            </w:r>
          </w:p>
          <w:p w14:paraId="2D4D615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application/xhtml+xml: XHTML 文档</w:t>
            </w:r>
          </w:p>
          <w:p w14:paraId="42C7E8D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application/xml: XML 文档</w:t>
            </w:r>
          </w:p>
          <w:p w14:paraId="77B00850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image/avif: AVIF 图片格式</w:t>
            </w:r>
          </w:p>
          <w:p w14:paraId="468355D7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image/webp: WebP 图片格式</w:t>
            </w:r>
          </w:p>
          <w:p w14:paraId="67FF68A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image/apng: APNG 图片格式</w:t>
            </w:r>
          </w:p>
          <w:p w14:paraId="1C01944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*/*: 其他任何类型的内容</w:t>
            </w:r>
          </w:p>
          <w:p w14:paraId="544E316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还包括了响应时优先级的设置（如 q=0.9 等），这些值表明不同类型内容的偏好程度。</w:t>
            </w:r>
          </w:p>
        </w:tc>
      </w:tr>
      <w:tr w14:paraId="1B2B6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vAlign w:val="center"/>
          </w:tcPr>
          <w:p w14:paraId="3E84F3DB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Accept-Encoding</w:t>
            </w:r>
          </w:p>
        </w:tc>
        <w:tc>
          <w:tcPr>
            <w:tcW w:w="2246" w:type="dxa"/>
            <w:vAlign w:val="center"/>
          </w:tcPr>
          <w:p w14:paraId="3FD0CEF3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指定客户端能够接受的内容编码方式（压缩方式）。</w:t>
            </w:r>
          </w:p>
        </w:tc>
        <w:tc>
          <w:tcPr>
            <w:tcW w:w="3000" w:type="dxa"/>
            <w:vAlign w:val="center"/>
          </w:tcPr>
          <w:p w14:paraId="31E497FC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gzip, deflate</w:t>
            </w:r>
          </w:p>
        </w:tc>
        <w:tc>
          <w:tcPr>
            <w:tcW w:w="3800" w:type="dxa"/>
            <w:vAlign w:val="center"/>
          </w:tcPr>
          <w:p w14:paraId="5E617A82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客户端能够解压 gzip 和 deflate 格式的压缩数据，从而节省带宽。</w:t>
            </w:r>
          </w:p>
        </w:tc>
      </w:tr>
      <w:tr w14:paraId="58BCC2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417" w:type="dxa"/>
            <w:vAlign w:val="center"/>
          </w:tcPr>
          <w:p w14:paraId="0A921ECF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Accept-Language</w:t>
            </w:r>
          </w:p>
        </w:tc>
        <w:tc>
          <w:tcPr>
            <w:tcW w:w="2246" w:type="dxa"/>
            <w:vAlign w:val="center"/>
          </w:tcPr>
          <w:p w14:paraId="0445074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指定客户端首选的语言。</w:t>
            </w:r>
          </w:p>
        </w:tc>
        <w:tc>
          <w:tcPr>
            <w:tcW w:w="3000" w:type="dxa"/>
            <w:vAlign w:val="center"/>
          </w:tcPr>
          <w:p w14:paraId="67871ADE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zh-CN,zh;q=0.9,en;q=0.8,en-GB;q=0.7,en-US;q=0.6</w:t>
            </w:r>
          </w:p>
        </w:tc>
        <w:tc>
          <w:tcPr>
            <w:tcW w:w="3800" w:type="dxa"/>
            <w:vAlign w:val="center"/>
          </w:tcPr>
          <w:p w14:paraId="64DA7F49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客户端首选语言是简体中文 (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zh-CN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)，其次是其他中文变体（如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zh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），然后是英语（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en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），最后是英国英语（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en-GB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）和美国英语（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en-US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）。</w:t>
            </w:r>
          </w:p>
        </w:tc>
      </w:tr>
    </w:tbl>
    <w:p w14:paraId="3AEAC1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697D46D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4.HTTP应答消息分析</w:t>
      </w:r>
    </w:p>
    <w:p w14:paraId="71EAC40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73270" cy="2536825"/>
            <wp:effectExtent l="0" t="0" r="13970" b="8255"/>
            <wp:docPr id="33" name="图片 33" descr="屏幕截图 2025-04-07 12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5-04-07 1256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2E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040C2B6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HTTP应答消息常见字段名及其功能</w:t>
      </w:r>
    </w:p>
    <w:tbl>
      <w:tblPr>
        <w:tblStyle w:val="7"/>
        <w:tblW w:w="10163" w:type="dxa"/>
        <w:tblInd w:w="-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75"/>
        <w:gridCol w:w="2500"/>
        <w:gridCol w:w="2512"/>
        <w:gridCol w:w="3176"/>
      </w:tblGrid>
      <w:tr w14:paraId="12D83B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5" w:type="dxa"/>
            <w:shd w:val="clear"/>
            <w:vAlign w:val="center"/>
          </w:tcPr>
          <w:p w14:paraId="22891D5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字段名</w:t>
            </w:r>
          </w:p>
        </w:tc>
        <w:tc>
          <w:tcPr>
            <w:tcW w:w="2500" w:type="dxa"/>
            <w:shd w:val="clear"/>
            <w:vAlign w:val="center"/>
          </w:tcPr>
          <w:p w14:paraId="157B2A5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功能</w:t>
            </w:r>
          </w:p>
        </w:tc>
        <w:tc>
          <w:tcPr>
            <w:tcW w:w="2512" w:type="dxa"/>
            <w:shd w:val="clear"/>
            <w:vAlign w:val="center"/>
          </w:tcPr>
          <w:p w14:paraId="44E8EF5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现有值</w:t>
            </w:r>
          </w:p>
        </w:tc>
        <w:tc>
          <w:tcPr>
            <w:tcW w:w="3176" w:type="dxa"/>
            <w:shd w:val="clear"/>
            <w:vAlign w:val="center"/>
          </w:tcPr>
          <w:p w14:paraId="7ACF73C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现有值含义</w:t>
            </w:r>
          </w:p>
        </w:tc>
      </w:tr>
      <w:tr w14:paraId="17B469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4F6EE6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HTTP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响应行</w:t>
            </w:r>
          </w:p>
        </w:tc>
        <w:tc>
          <w:tcPr>
            <w:tcW w:w="2500" w:type="dxa"/>
            <w:vAlign w:val="center"/>
          </w:tcPr>
          <w:p w14:paraId="09BA6EA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指示请求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的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状态</w:t>
            </w:r>
          </w:p>
        </w:tc>
        <w:tc>
          <w:tcPr>
            <w:tcW w:w="2512" w:type="dxa"/>
            <w:vAlign w:val="center"/>
          </w:tcPr>
          <w:p w14:paraId="2DBE044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HTTP/1.1 200 OK</w:t>
            </w:r>
          </w:p>
        </w:tc>
        <w:tc>
          <w:tcPr>
            <w:tcW w:w="3176" w:type="dxa"/>
            <w:vAlign w:val="center"/>
          </w:tcPr>
          <w:p w14:paraId="6BFCAC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HTTP/1.1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表示使用的协议版本，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200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是状态码，表示请求成功（OK）。这意味着服务器已经成功返回了请求的资源。</w:t>
            </w:r>
          </w:p>
        </w:tc>
      </w:tr>
      <w:tr w14:paraId="6E30C3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366" w:hRule="atLeast"/>
        </w:trPr>
        <w:tc>
          <w:tcPr>
            <w:tcW w:w="1975" w:type="dxa"/>
            <w:vAlign w:val="center"/>
          </w:tcPr>
          <w:p w14:paraId="6EB542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Date</w:t>
            </w:r>
          </w:p>
        </w:tc>
        <w:tc>
          <w:tcPr>
            <w:tcW w:w="2500" w:type="dxa"/>
            <w:vAlign w:val="center"/>
          </w:tcPr>
          <w:p w14:paraId="7B481E3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表示响应被生成的日期和时间</w:t>
            </w:r>
          </w:p>
        </w:tc>
        <w:tc>
          <w:tcPr>
            <w:tcW w:w="2512" w:type="dxa"/>
            <w:vAlign w:val="center"/>
          </w:tcPr>
          <w:p w14:paraId="3FE9403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Sun, 06 Apr 2025 12:47:50 GMT</w:t>
            </w:r>
          </w:p>
        </w:tc>
        <w:tc>
          <w:tcPr>
            <w:tcW w:w="3176" w:type="dxa"/>
            <w:vAlign w:val="center"/>
          </w:tcPr>
          <w:p w14:paraId="06AF6A4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响应是于 2025 年 4 月 6 日 12:47:50 UTC (格林威治时间) 生成的。</w:t>
            </w:r>
          </w:p>
        </w:tc>
      </w:tr>
      <w:tr w14:paraId="4774CA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2EB77A6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Content-Type</w:t>
            </w:r>
          </w:p>
        </w:tc>
        <w:tc>
          <w:tcPr>
            <w:tcW w:w="2500" w:type="dxa"/>
            <w:vAlign w:val="center"/>
          </w:tcPr>
          <w:p w14:paraId="0D6B0E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指示返回内容的类型及字符编码方式</w:t>
            </w:r>
          </w:p>
        </w:tc>
        <w:tc>
          <w:tcPr>
            <w:tcW w:w="2512" w:type="dxa"/>
            <w:vAlign w:val="center"/>
          </w:tcPr>
          <w:p w14:paraId="0452C58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text/html;</w:t>
            </w:r>
          </w:p>
          <w:p w14:paraId="56BE04D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charset=utf-8</w:t>
            </w:r>
          </w:p>
        </w:tc>
        <w:tc>
          <w:tcPr>
            <w:tcW w:w="3176" w:type="dxa"/>
            <w:vAlign w:val="center"/>
          </w:tcPr>
          <w:p w14:paraId="3C3A183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响应体是 HTML 格式的内容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并且使用的是 UTF-8 字符编码。</w:t>
            </w:r>
          </w:p>
        </w:tc>
      </w:tr>
      <w:tr w14:paraId="62C1A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1B2FC64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Content-Length</w:t>
            </w:r>
          </w:p>
        </w:tc>
        <w:tc>
          <w:tcPr>
            <w:tcW w:w="2500" w:type="dxa"/>
            <w:vAlign w:val="center"/>
          </w:tcPr>
          <w:p w14:paraId="4A54B22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指定响应体的字节长度</w:t>
            </w:r>
          </w:p>
        </w:tc>
        <w:tc>
          <w:tcPr>
            <w:tcW w:w="2512" w:type="dxa"/>
            <w:vAlign w:val="center"/>
          </w:tcPr>
          <w:p w14:paraId="4C9F66C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43930</w:t>
            </w:r>
          </w:p>
        </w:tc>
        <w:tc>
          <w:tcPr>
            <w:tcW w:w="3176" w:type="dxa"/>
            <w:vAlign w:val="center"/>
          </w:tcPr>
          <w:p w14:paraId="2A0BE82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响应体内容长度是43930字节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</w:tc>
      </w:tr>
      <w:tr w14:paraId="396CD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063E304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Connection</w:t>
            </w:r>
          </w:p>
        </w:tc>
        <w:tc>
          <w:tcPr>
            <w:tcW w:w="2500" w:type="dxa"/>
            <w:vAlign w:val="center"/>
          </w:tcPr>
          <w:p w14:paraId="478840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指定连接的控制方式</w:t>
            </w:r>
          </w:p>
        </w:tc>
        <w:tc>
          <w:tcPr>
            <w:tcW w:w="2512" w:type="dxa"/>
            <w:vAlign w:val="center"/>
          </w:tcPr>
          <w:p w14:paraId="7E463D5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keep-alive</w:t>
            </w:r>
          </w:p>
        </w:tc>
        <w:tc>
          <w:tcPr>
            <w:tcW w:w="3176" w:type="dxa"/>
            <w:vAlign w:val="center"/>
          </w:tcPr>
          <w:p w14:paraId="561526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keep-alive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表示服务器希望保持连接打开，以便处理后续的请求，而不是在当前请求结束后关闭连接。</w:t>
            </w:r>
          </w:p>
        </w:tc>
      </w:tr>
      <w:tr w14:paraId="74E7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608BD96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Vary</w:t>
            </w:r>
          </w:p>
        </w:tc>
        <w:tc>
          <w:tcPr>
            <w:tcW w:w="2500" w:type="dxa"/>
            <w:vAlign w:val="center"/>
          </w:tcPr>
          <w:p w14:paraId="163298B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指示缓存代理服务器在缓存响应时应该考虑哪些请求头的变化</w:t>
            </w:r>
          </w:p>
        </w:tc>
        <w:tc>
          <w:tcPr>
            <w:tcW w:w="2512" w:type="dxa"/>
            <w:vAlign w:val="center"/>
          </w:tcPr>
          <w:p w14:paraId="1D70802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Accept-Encoding</w:t>
            </w:r>
          </w:p>
        </w:tc>
        <w:tc>
          <w:tcPr>
            <w:tcW w:w="3176" w:type="dxa"/>
            <w:vAlign w:val="center"/>
          </w:tcPr>
          <w:p w14:paraId="1BDCE9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服务器告知代理服务器根据客户端的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Accept-Encoding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头来缓存响应，这意味着如果客户端请求不同的编码方式（如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gzip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 或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deflate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），则响应可能会不同。</w:t>
            </w:r>
          </w:p>
        </w:tc>
      </w:tr>
      <w:tr w14:paraId="6C13A7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7AB028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Content-Encoding</w:t>
            </w:r>
          </w:p>
        </w:tc>
        <w:tc>
          <w:tcPr>
            <w:tcW w:w="2500" w:type="dxa"/>
            <w:vAlign w:val="center"/>
          </w:tcPr>
          <w:p w14:paraId="4B800EE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指示响应体内容的编码方式（即压缩方式）</w:t>
            </w:r>
          </w:p>
        </w:tc>
        <w:tc>
          <w:tcPr>
            <w:tcW w:w="2512" w:type="dxa"/>
            <w:vAlign w:val="center"/>
          </w:tcPr>
          <w:p w14:paraId="1EB958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gzip</w:t>
            </w:r>
          </w:p>
        </w:tc>
        <w:tc>
          <w:tcPr>
            <w:tcW w:w="3176" w:type="dxa"/>
            <w:vAlign w:val="center"/>
          </w:tcPr>
          <w:p w14:paraId="746347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响应体内容被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gzip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压缩过。客户端需要解压此内容才能正确显示。</w:t>
            </w:r>
          </w:p>
        </w:tc>
      </w:tr>
      <w:tr w14:paraId="2A6F24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599274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X-Cache</w:t>
            </w:r>
          </w:p>
        </w:tc>
        <w:tc>
          <w:tcPr>
            <w:tcW w:w="2500" w:type="dxa"/>
            <w:vAlign w:val="center"/>
          </w:tcPr>
          <w:p w14:paraId="4E8030D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提供有关响应缓存的情况</w:t>
            </w:r>
          </w:p>
        </w:tc>
        <w:tc>
          <w:tcPr>
            <w:tcW w:w="2512" w:type="dxa"/>
            <w:vAlign w:val="center"/>
          </w:tcPr>
          <w:p w14:paraId="28E28E2D">
            <w:pPr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HIT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from x-s-v-24.xinhua</w:t>
            </w:r>
          </w:p>
          <w:p w14:paraId="0316BB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</w:tc>
        <w:tc>
          <w:tcPr>
            <w:tcW w:w="3176" w:type="dxa"/>
            <w:vAlign w:val="center"/>
          </w:tcPr>
          <w:p w14:paraId="000DDD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响应是从缓存中命中（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HIT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），并且缓存来源是 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x-s-v-24.xinhua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（可能是代理服务器或缓存服务器的名称或标识符）。</w:t>
            </w:r>
          </w:p>
        </w:tc>
      </w:tr>
      <w:tr w14:paraId="443B42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53A354D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Accept-Ranges</w:t>
            </w:r>
          </w:p>
        </w:tc>
        <w:tc>
          <w:tcPr>
            <w:tcW w:w="2500" w:type="dxa"/>
            <w:vAlign w:val="center"/>
          </w:tcPr>
          <w:p w14:paraId="6C88680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指示服务器是否支持部分内容请求（即 Range 请求）</w:t>
            </w:r>
          </w:p>
        </w:tc>
        <w:tc>
          <w:tcPr>
            <w:tcW w:w="2512" w:type="dxa"/>
            <w:vAlign w:val="center"/>
          </w:tcPr>
          <w:p w14:paraId="4FBECB7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bytes</w:t>
            </w:r>
          </w:p>
        </w:tc>
        <w:tc>
          <w:tcPr>
            <w:tcW w:w="3176" w:type="dxa"/>
            <w:vAlign w:val="center"/>
          </w:tcPr>
          <w:p w14:paraId="6DD020E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服务器支持按字节范围请求，这意味着客户端可以请求文件的一部分，而不必下载整个文件。</w:t>
            </w:r>
          </w:p>
        </w:tc>
      </w:tr>
      <w:tr w14:paraId="3022E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75" w:type="dxa"/>
            <w:vAlign w:val="center"/>
          </w:tcPr>
          <w:p w14:paraId="235AAB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X-Ser</w:t>
            </w:r>
          </w:p>
        </w:tc>
        <w:tc>
          <w:tcPr>
            <w:tcW w:w="2500" w:type="dxa"/>
            <w:vAlign w:val="center"/>
          </w:tcPr>
          <w:p w14:paraId="50FEC9A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提供与服务器相关的内部标识信息</w:t>
            </w:r>
          </w:p>
        </w:tc>
        <w:tc>
          <w:tcPr>
            <w:tcW w:w="2512" w:type="dxa"/>
            <w:vAlign w:val="center"/>
          </w:tcPr>
          <w:p w14:paraId="0EF2C8F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i25073_c2919, i36126_c26725, i36162_c26725</w:t>
            </w:r>
          </w:p>
        </w:tc>
        <w:tc>
          <w:tcPr>
            <w:tcW w:w="3176" w:type="dxa"/>
            <w:vAlign w:val="center"/>
          </w:tcPr>
          <w:p w14:paraId="6600DFA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这是某种服务器标识符或路径，它可能与缓存或服务器集群的管理有关。这一字段可能在不同的服务器或负载均衡器之间起到识别作用。</w:t>
            </w:r>
          </w:p>
        </w:tc>
      </w:tr>
      <w:tr w14:paraId="45CE82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78EF33E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Content-encoded entity body (gzip)</w:t>
            </w:r>
          </w:p>
        </w:tc>
        <w:tc>
          <w:tcPr>
            <w:tcW w:w="2500" w:type="dxa"/>
            <w:vAlign w:val="center"/>
          </w:tcPr>
          <w:p w14:paraId="1C64270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提供压缩和解压前后的数据大小</w:t>
            </w:r>
          </w:p>
        </w:tc>
        <w:tc>
          <w:tcPr>
            <w:tcW w:w="2512" w:type="dxa"/>
            <w:vAlign w:val="center"/>
          </w:tcPr>
          <w:p w14:paraId="1400D0F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43930 bytes -&gt; 167894 bytes</w:t>
            </w:r>
          </w:p>
        </w:tc>
        <w:tc>
          <w:tcPr>
            <w:tcW w:w="3176" w:type="dxa"/>
            <w:vAlign w:val="center"/>
          </w:tcPr>
          <w:p w14:paraId="4C81DAE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压缩后的响应体为 43930 字节，解压后为 167894 字节。这显示了响应体被压缩后节省了多少空间。</w:t>
            </w:r>
          </w:p>
        </w:tc>
      </w:tr>
      <w:tr w14:paraId="5FAA7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5" w:type="dxa"/>
            <w:vAlign w:val="center"/>
          </w:tcPr>
          <w:p w14:paraId="5BBE742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File Data</w:t>
            </w:r>
          </w:p>
        </w:tc>
        <w:tc>
          <w:tcPr>
            <w:tcW w:w="2500" w:type="dxa"/>
            <w:vAlign w:val="center"/>
          </w:tcPr>
          <w:p w14:paraId="0E56DCD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指出返回的数据的实际大小</w:t>
            </w:r>
          </w:p>
        </w:tc>
        <w:tc>
          <w:tcPr>
            <w:tcW w:w="2512" w:type="dxa"/>
            <w:vAlign w:val="center"/>
          </w:tcPr>
          <w:p w14:paraId="143946F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167894 bytes</w:t>
            </w:r>
          </w:p>
        </w:tc>
        <w:tc>
          <w:tcPr>
            <w:tcW w:w="3176" w:type="dxa"/>
            <w:vAlign w:val="center"/>
          </w:tcPr>
          <w:p w14:paraId="7073B4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解压后的文件大小为 167894 字节。</w:t>
            </w:r>
          </w:p>
        </w:tc>
      </w:tr>
    </w:tbl>
    <w:p w14:paraId="7A82253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4338870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6F567A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三、SMTP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协议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分析</w:t>
      </w:r>
    </w:p>
    <w:p w14:paraId="31AC1A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1.SMTP功能</w:t>
      </w:r>
    </w:p>
    <w:p w14:paraId="22BB81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SMTP（简单邮件传输协议）主要用于在电子邮件客户端和服务器之间发送电子邮件，它的功能包括邮件的发送、路由和转发。SMTP 将邮件从发件人传输到接收方的邮件服务器，并通过指定发件人和收件人地址来确保邮件传递的准确性。它还支持将邮件从一个服务器转发到另一个服务器，直到最终到达目标邮件服务器。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总而言之，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SMTP 是一个基于文本的协议，确保邮件能够跨越不同的网络和服务器顺利传输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</w:p>
    <w:p w14:paraId="2E8047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8A804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2.SMTP通信过程</w:t>
      </w:r>
    </w:p>
    <w:p w14:paraId="59141A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（1）建立连接：发送方（客户端或邮件服务器）通过 TCP 连接到接收方的 SMTP 服务器。默认端口为 25，但也可以使用 587 或 465（加密连接）等端口。</w:t>
      </w:r>
    </w:p>
    <w:p w14:paraId="44418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（2）发送 HELO 或 EHLO 命令：客户端向 SMTP 服务器发送 HELO 或 EHLO 命令，表明自己是一个有效的邮件发送者。服务器通常会响应 250 的成功状态码，并回传一些能力（例如是否支持身份验证、加密等）。</w:t>
      </w:r>
    </w:p>
    <w:p w14:paraId="3748A4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（3）发件人身份验证（可选）：如果 SMTP 服务器要求身份验证，客户端需要使用 AUTH 命令进行身份验证。常用的身份验证方式包括 PLAIN、LOGIN 和 CRAM-MD5 等。</w:t>
      </w:r>
    </w:p>
    <w:p w14:paraId="0D6234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（4）MAIL FROM 命令：发送方使用 MAIL FROM 命令指定邮件的发件人地址。服务器会验证发件人地址的合法性，并返回 250 OK 响应表示成功。</w:t>
      </w:r>
    </w:p>
    <w:p w14:paraId="3B6DD1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（5）RCPT TO 命令：发送方使用 RCPT TO 命令指定邮件的收件人地址。服务器会检查收件人地址是否有效，成功时会返回 250 OK。如果邮件有多个收件人，发送方可以多次使用 RCPT TO 命令。</w:t>
      </w:r>
    </w:p>
    <w:p w14:paraId="1DBA38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（6）DATA 命令：发送方使用 DATA 命令告知服务器邮件主体即将发送。服务器响应 354 Start mail input，表示准备接收邮件内容。邮件内容包括邮件的主题、正文以及可能的附件。邮件内容必须以 \r\n.\r\n（一个句点和换行符）作为结束标志，表示邮件内容已经完全发送。</w:t>
      </w:r>
    </w:p>
    <w:p w14:paraId="41A91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（7）发送邮件内容：客户端开始发送邮件的头部（如 From、To、Subject 等）和正文。邮件主体部分可以包含文本、HTML 格式的内容，甚至是附件。</w:t>
      </w:r>
    </w:p>
    <w:p w14:paraId="6059A5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（8）服务器确认：发送完邮件内容后，SMTP 服务器返回 250 OK，表示邮件已经成功接收，并将邮件传递到适当的邮件队列，准备转发到目标邮件服务器。</w:t>
      </w:r>
    </w:p>
    <w:p w14:paraId="2F07B9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（9）结束会话：发送方使用 QUIT 命令来结束与服务器的会话。服务器回应 221 状态码表示会话已成功关闭。</w:t>
      </w:r>
    </w:p>
    <w:p w14:paraId="551FC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086DF6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3.SMTP的各命令/响应消息的内容及功能</w:t>
      </w:r>
    </w:p>
    <w:p w14:paraId="16EAA4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52465" cy="1167130"/>
            <wp:effectExtent l="0" t="0" r="8255" b="6350"/>
            <wp:docPr id="34" name="图片 34" descr="屏幕截图 2025-04-07 13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5-04-07 1326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3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5ADDF1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SMTP常用命令表格</w:t>
      </w:r>
    </w:p>
    <w:tbl>
      <w:tblPr>
        <w:tblStyle w:val="7"/>
        <w:tblW w:w="99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82"/>
        <w:gridCol w:w="5618"/>
      </w:tblGrid>
      <w:tr w14:paraId="2F0BA3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82" w:type="dxa"/>
            <w:vAlign w:val="center"/>
          </w:tcPr>
          <w:p w14:paraId="00C164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SMTP 命令</w:t>
            </w:r>
          </w:p>
        </w:tc>
        <w:tc>
          <w:tcPr>
            <w:tcW w:w="5618" w:type="dxa"/>
            <w:vAlign w:val="center"/>
          </w:tcPr>
          <w:p w14:paraId="5122A10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功能</w:t>
            </w:r>
          </w:p>
        </w:tc>
      </w:tr>
      <w:tr w14:paraId="4AF238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778A1D6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EHLO&lt;SP&gt;&lt;domain&gt;&lt;CRLF&gt;</w:t>
            </w:r>
          </w:p>
          <w:p w14:paraId="46923A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6A3D5E6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SMTP 客户端与 SMTP 服务器端建立连接后必须发送的第一条命令。参数&lt;domain&gt;为 SMTP 服务器的域名。</w:t>
            </w:r>
          </w:p>
          <w:p w14:paraId="0EAB9D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7DE72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4A3E26C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AUTH&lt;SP&gt;LOGIN&lt;CRLF&gt;</w:t>
            </w:r>
          </w:p>
          <w:p w14:paraId="0E4B362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023463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SMTP 客户端向 SMTP 服务器端说明身份认证的方式。注意：此命令得到的响应信息和后续的用户名及密码都必须以 Base64 编码。</w:t>
            </w:r>
          </w:p>
          <w:p w14:paraId="24B7C8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4226D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23C41DB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MAIL&lt;SP&gt;FROM:&lt;reverse-path&gt;&lt;CRLF&gt;</w:t>
            </w:r>
          </w:p>
          <w:p w14:paraId="47D4CF7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679A04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指定邮件发送者的邮箱地址，参数&lt;reverse-path&gt;表示发信人的邮箱地址。</w:t>
            </w:r>
          </w:p>
          <w:p w14:paraId="349A3B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40A06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2386C5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RCPT&lt;SP&gt;TO:&lt;forword-path&gt;&lt;CRLF&gt;</w:t>
            </w:r>
          </w:p>
          <w:p w14:paraId="6749B1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10787AA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指定邮件接收者的邮箱地址，参数&lt;forword-path&gt;表示接收者的邮箱地址。每条 RCPT 命令指定一个收信人。如果邮件要发送给多个收信人，应使用多条 RCPT 命令。</w:t>
            </w:r>
          </w:p>
          <w:p w14:paraId="080048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2BB504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4A146AD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data&lt;CRLF&gt;</w:t>
            </w:r>
          </w:p>
          <w:p w14:paraId="1FED3D5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418DFC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通知 SMTP 服务器端准备开始传送邮件内容。收到响应后，SMTP 客户端发送的所有数据都将被当做邮件内容，直至“&lt;CRLF&gt;.&lt;CRLF&gt;”标志符（即只有“.”的单独一行），则表示邮件内容结束。</w:t>
            </w:r>
          </w:p>
          <w:p w14:paraId="743380C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43DE20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82" w:type="dxa"/>
            <w:vAlign w:val="center"/>
          </w:tcPr>
          <w:p w14:paraId="62A993F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QUIT&lt;CRLF&gt;</w:t>
            </w:r>
          </w:p>
          <w:p w14:paraId="035113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18" w:type="dxa"/>
            <w:vAlign w:val="center"/>
          </w:tcPr>
          <w:p w14:paraId="7B5E19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结束邮件发送过程，SMTP 服务器端收到此命令后，将</w:t>
            </w:r>
          </w:p>
          <w:p w14:paraId="02726D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关闭与 SMTP 客户端的 TCP 连接。</w:t>
            </w:r>
          </w:p>
          <w:p w14:paraId="642CA2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 w14:paraId="35E6E9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31BA8B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SMTP常见状态码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643"/>
        <w:gridCol w:w="4643"/>
      </w:tblGrid>
      <w:tr w14:paraId="10E51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643" w:type="dxa"/>
            <w:shd w:val="clear"/>
            <w:vAlign w:val="top"/>
          </w:tcPr>
          <w:p w14:paraId="052F24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状态码</w:t>
            </w:r>
          </w:p>
        </w:tc>
        <w:tc>
          <w:tcPr>
            <w:tcW w:w="4643" w:type="dxa"/>
            <w:shd w:val="clear"/>
            <w:vAlign w:val="top"/>
          </w:tcPr>
          <w:p w14:paraId="1646EB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含义</w:t>
            </w:r>
          </w:p>
        </w:tc>
      </w:tr>
      <w:tr w14:paraId="4414C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643" w:type="dxa"/>
            <w:shd w:val="clear" w:color="auto" w:fill="auto"/>
            <w:vAlign w:val="top"/>
          </w:tcPr>
          <w:p w14:paraId="609A7C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221</w:t>
            </w:r>
          </w:p>
        </w:tc>
        <w:tc>
          <w:tcPr>
            <w:tcW w:w="4643" w:type="dxa"/>
            <w:shd w:val="clear" w:color="auto" w:fill="auto"/>
            <w:vAlign w:val="top"/>
          </w:tcPr>
          <w:p w14:paraId="3B46DAE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会话结束，关闭连接。</w:t>
            </w:r>
          </w:p>
        </w:tc>
      </w:tr>
      <w:tr w14:paraId="18658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643" w:type="dxa"/>
            <w:shd w:val="clear"/>
            <w:vAlign w:val="top"/>
          </w:tcPr>
          <w:p w14:paraId="1BCF6FA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235</w:t>
            </w:r>
          </w:p>
        </w:tc>
        <w:tc>
          <w:tcPr>
            <w:tcW w:w="4643" w:type="dxa"/>
            <w:shd w:val="clear"/>
            <w:vAlign w:val="top"/>
          </w:tcPr>
          <w:p w14:paraId="40339E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身份验证成功。</w:t>
            </w:r>
          </w:p>
        </w:tc>
      </w:tr>
      <w:tr w14:paraId="4F126C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643" w:type="dxa"/>
            <w:shd w:val="clear"/>
            <w:vAlign w:val="top"/>
          </w:tcPr>
          <w:p w14:paraId="2D983C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250</w:t>
            </w:r>
          </w:p>
        </w:tc>
        <w:tc>
          <w:tcPr>
            <w:tcW w:w="4643" w:type="dxa"/>
            <w:shd w:val="clear"/>
            <w:vAlign w:val="top"/>
          </w:tcPr>
          <w:p w14:paraId="316796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成功，继续操作。</w:t>
            </w:r>
          </w:p>
        </w:tc>
      </w:tr>
      <w:tr w14:paraId="27A53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643" w:type="dxa"/>
            <w:shd w:val="clear"/>
            <w:vAlign w:val="top"/>
          </w:tcPr>
          <w:p w14:paraId="145BEE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334</w:t>
            </w:r>
          </w:p>
        </w:tc>
        <w:tc>
          <w:tcPr>
            <w:tcW w:w="4643" w:type="dxa"/>
            <w:shd w:val="clear"/>
            <w:vAlign w:val="top"/>
          </w:tcPr>
          <w:p w14:paraId="06F801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需要身份验证，等待客户端提供凭证。</w:t>
            </w:r>
          </w:p>
        </w:tc>
      </w:tr>
      <w:tr w14:paraId="036D1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643" w:type="dxa"/>
            <w:shd w:val="clear"/>
            <w:vAlign w:val="top"/>
          </w:tcPr>
          <w:p w14:paraId="381A2B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354</w:t>
            </w:r>
          </w:p>
        </w:tc>
        <w:tc>
          <w:tcPr>
            <w:tcW w:w="4643" w:type="dxa"/>
            <w:shd w:val="clear"/>
            <w:vAlign w:val="top"/>
          </w:tcPr>
          <w:p w14:paraId="0EDC1A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服务器准备接收邮件内容。</w:t>
            </w:r>
          </w:p>
        </w:tc>
      </w:tr>
    </w:tbl>
    <w:p w14:paraId="6D1DFD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4DF4B9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4.通信过程的消息序列图</w:t>
      </w:r>
    </w:p>
    <w:p w14:paraId="0077001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 w14:paraId="626C6C5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35525" cy="5307965"/>
            <wp:effectExtent l="0" t="0" r="0" b="0"/>
            <wp:docPr id="35" name="图片 35" descr="微信图片_2025040714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250407142533"/>
                    <pic:cNvPicPr>
                      <a:picLocks noChangeAspect="1"/>
                    </pic:cNvPicPr>
                  </pic:nvPicPr>
                  <pic:blipFill>
                    <a:blip r:embed="rId20"/>
                    <a:srcRect l="5522" t="15871" r="10045" b="1474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91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40E520B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 w14:paraId="1891714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四、实验结论和实验心得</w:t>
      </w:r>
    </w:p>
    <w:p w14:paraId="40761E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 实验遇到的问题</w:t>
      </w:r>
    </w:p>
    <w:p w14:paraId="31D981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（1）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在使用 AUTH LOGIN 进行身份验证时，遇到了535 authentication failed错误，导致无法通过身份验证。</w:t>
      </w:r>
      <w:bookmarkStart w:id="0" w:name="_GoBack"/>
      <w:bookmarkEnd w:id="0"/>
    </w:p>
    <w:p w14:paraId="31FF21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原因：一开始直接将授权码复制过来进行登录。</w:t>
      </w:r>
    </w:p>
    <w:p w14:paraId="56D03F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解决：使用授权码的base64编码进行登录。</w:t>
      </w:r>
    </w:p>
    <w:p w14:paraId="7E117A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CC5B4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 实验心得</w:t>
      </w:r>
    </w:p>
    <w:p w14:paraId="6864BC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这次实验，我对SMTP和HTTP协议有了更深入的理解，并掌握了Wireshark软件的基本使用。通过分析SMTP和HTTP协议的通信过程，我更清楚地理解了它们的底层工作原理。使用SMTP命令与邮件服务器交互让我认识到，借助命令行工具（如telnet）与邮件服务器进行交互，不仅能帮助理解邮件发送的底层机制，还能有效排查邮件客户端配置中的潜在问题。在实际操作中，我学会了如何通过命令行调试邮件发送，并结合邮件客户端的设置进行优化。</w:t>
      </w:r>
    </w:p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文鼎大标宋简">
    <w:altName w:val="微软雅黑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micSansM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doNotDisplayPageBoundaries w:val="1"/>
  <w:bordersDoNotSurroundHeader w:val="0"/>
  <w:bordersDoNotSurroundFooter w:val="0"/>
  <w:documentProtection w:enforcement="0"/>
  <w:defaultTabStop w:val="420"/>
  <w:hyphenationZone w:val="360"/>
  <w:drawingGridHorizontalSpacing w:val="2"/>
  <w:drawingGridVerticalSpacing w:val="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FiY2MwY2ZkNjhjZDIyMjM0ZjVkNTM1Zjk1MTlhYTkifQ=="/>
  </w:docVars>
  <w:rsids>
    <w:rsidRoot w:val="00E762ED"/>
    <w:rsid w:val="000F521C"/>
    <w:rsid w:val="001A65D9"/>
    <w:rsid w:val="001D0928"/>
    <w:rsid w:val="001E3666"/>
    <w:rsid w:val="00233AD7"/>
    <w:rsid w:val="00337862"/>
    <w:rsid w:val="00341963"/>
    <w:rsid w:val="004417D4"/>
    <w:rsid w:val="00443C5A"/>
    <w:rsid w:val="004F17B8"/>
    <w:rsid w:val="005C70B8"/>
    <w:rsid w:val="005C74B8"/>
    <w:rsid w:val="006711DF"/>
    <w:rsid w:val="00674E66"/>
    <w:rsid w:val="00702E81"/>
    <w:rsid w:val="00722B04"/>
    <w:rsid w:val="00744EF1"/>
    <w:rsid w:val="00796D44"/>
    <w:rsid w:val="007D6B31"/>
    <w:rsid w:val="007E1F52"/>
    <w:rsid w:val="007E210C"/>
    <w:rsid w:val="00862683"/>
    <w:rsid w:val="00883C87"/>
    <w:rsid w:val="008B3F19"/>
    <w:rsid w:val="008F3FDA"/>
    <w:rsid w:val="009B44D1"/>
    <w:rsid w:val="009D1591"/>
    <w:rsid w:val="009D6875"/>
    <w:rsid w:val="00A1744A"/>
    <w:rsid w:val="00A36BA6"/>
    <w:rsid w:val="00A5692C"/>
    <w:rsid w:val="00AB7D19"/>
    <w:rsid w:val="00AD67E0"/>
    <w:rsid w:val="00B506A1"/>
    <w:rsid w:val="00C7783C"/>
    <w:rsid w:val="00C8161A"/>
    <w:rsid w:val="00DB4BEF"/>
    <w:rsid w:val="00DC7C97"/>
    <w:rsid w:val="00E64D63"/>
    <w:rsid w:val="00E762ED"/>
    <w:rsid w:val="00E81E51"/>
    <w:rsid w:val="00F2180D"/>
    <w:rsid w:val="00F32BD3"/>
    <w:rsid w:val="00FA3518"/>
    <w:rsid w:val="00FF77CB"/>
    <w:rsid w:val="0D5C0568"/>
    <w:rsid w:val="34B05D15"/>
    <w:rsid w:val="510447CA"/>
    <w:rsid w:val="5BB50A69"/>
    <w:rsid w:val="71FB7DD2"/>
    <w:rsid w:val="DDF7EF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nhideWhenUsed="0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character" w:customStyle="1" w:styleId="12">
    <w:name w:val="页眉 字符"/>
    <w:link w:val="4"/>
    <w:qFormat/>
    <w:uiPriority w:val="99"/>
    <w:rPr>
      <w:kern w:val="2"/>
      <w:sz w:val="18"/>
      <w:szCs w:val="18"/>
    </w:rPr>
  </w:style>
  <w:style w:type="character" w:customStyle="1" w:styleId="13">
    <w:name w:val="页脚 字符"/>
    <w:link w:val="3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jwc</Company>
  <Pages>14</Pages>
  <Words>245</Words>
  <Characters>321</Characters>
  <Lines>1</Lines>
  <Paragraphs>1</Paragraphs>
  <TotalTime>804</TotalTime>
  <ScaleCrop>false</ScaleCrop>
  <LinksUpToDate>false</LinksUpToDate>
  <CharactersWithSpaces>348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2023-03-21T11:08:00Z</dcterms:created>
  <dc:creator>luomj</dc:creator>
  <cp:lastModifiedBy>hollow</cp:lastModifiedBy>
  <dcterms:modified xsi:type="dcterms:W3CDTF">2025-04-07T06:27:28Z</dcterms:modified>
  <dc:title>北京邮电大学实习报告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815525C9EC604695BB059B7434329AF9_12</vt:lpwstr>
  </property>
  <property fmtid="{D5CDD505-2E9C-101B-9397-08002B2CF9AE}" pid="4" name="KSOTemplateDocerSaveRecord">
    <vt:lpwstr>eyJoZGlkIjoiYjlmNzAzYTFlMjE2MTlmYmZkNThkMWE0MjI2OWMzZDQiLCJ1c2VySWQiOiIxMTQ1NjAzNjcyIn0=</vt:lpwstr>
  </property>
</Properties>
</file>