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Marking Rubric (100%)</w:t>
      </w:r>
    </w:p>
    <w:p>
      <w:pPr>
        <w:pStyle w:val="Body"/>
        <w:bidi w:val="0"/>
      </w:pPr>
      <w:r>
        <w:rPr>
          <w:rtl w:val="0"/>
        </w:rPr>
        <w:t xml:space="preserve">The following rubric will be applied to your submission. The </w:t>
      </w:r>
      <w:r>
        <w:rPr>
          <w:rtl w:val="0"/>
        </w:rPr>
        <w:t>sources</w:t>
      </w:r>
      <w:r>
        <w:rPr>
          <w:rtl w:val="0"/>
        </w:rPr>
        <w:t xml:space="preserve"> are automatically collected using Moodle. Failing to submit either the </w:t>
      </w:r>
      <w:r>
        <w:rPr>
          <w:rtl w:val="0"/>
        </w:rPr>
        <w:t xml:space="preserve">Source Code, </w:t>
      </w:r>
      <w:r>
        <w:rPr>
          <w:rtl w:val="0"/>
        </w:rPr>
        <w:t xml:space="preserve">GitHub repository link or the video file will result in a zero mark for this assessment. </w:t>
      </w:r>
    </w:p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1"/>
        <w:gridCol w:w="1726"/>
        <w:gridCol w:w="2109"/>
        <w:gridCol w:w="1981"/>
        <w:gridCol w:w="1919"/>
        <w:gridCol w:w="2329"/>
        <w:gridCol w:w="2422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21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8</w:t>
            </w:r>
          </w:p>
        </w:tc>
        <w:tc>
          <w:tcPr>
            <w:tcW w:type="dxa" w:w="19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12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16</w:t>
            </w:r>
          </w:p>
        </w:tc>
        <w:tc>
          <w:tcPr>
            <w:tcW w:type="dxa" w:w="2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1801" w:hRule="atLeast"/>
        </w:trPr>
        <w:tc>
          <w:tcPr>
            <w:tcW w:type="dxa" w:w="20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Version Control and Testing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  <w:rtl w:val="0"/>
                <w:lang w:val="en-US"/>
              </w:rPr>
              <w:t>20%</w:t>
            </w:r>
          </w:p>
        </w:tc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No access given to the remote repository on GitHub. No Unit tests have been written or run. No commits. </w:t>
            </w:r>
          </w:p>
          <w:p>
            <w:pPr>
              <w:pStyle w:val="Table Style 2"/>
            </w:pPr>
          </w:p>
        </w:tc>
        <w:tc>
          <w:tcPr>
            <w:tcW w:type="dxa" w:w="21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Some code access provided. Limited attempt at flawed Unit tests and marginal commits performed. </w:t>
            </w:r>
          </w:p>
          <w:p>
            <w:pPr>
              <w:pStyle w:val="Table Style 2"/>
            </w:pP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Access provided to GitHub. An unsuccessful attempt has been made to write simple Unit tests. More than 10 commits performed. </w:t>
            </w:r>
          </w:p>
          <w:p>
            <w:pPr>
              <w:pStyle w:val="Table Style 2"/>
            </w:pPr>
          </w:p>
        </w:tc>
        <w:tc>
          <w:tcPr>
            <w:tcW w:type="dxa" w:w="19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Access has been given to the code on GitHub with multiple commits. Evidence of a limited number of Unit tests written and run. More than 20 commits performed. </w:t>
            </w:r>
          </w:p>
          <w:p>
            <w:pPr>
              <w:pStyle w:val="Table Style 2"/>
            </w:pP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Evidence of regular commits over an extended period of time together with a range of Unit tests showing how they contribute to code quality. </w:t>
            </w:r>
          </w:p>
          <w:p>
            <w:pPr>
              <w:pStyle w:val="Table Style 2"/>
            </w:pPr>
          </w:p>
        </w:tc>
        <w:tc>
          <w:tcPr>
            <w:tcW w:type="dxa" w:w="2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Commits over an extended period of time, demonstrating the use of branching and merging. A full suite of automated Unit tests ensuring full code coverage. 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20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Layout and Design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  <w:rtl w:val="0"/>
                <w:lang w:val="en-US"/>
              </w:rPr>
              <w:t>20%</w:t>
            </w:r>
          </w:p>
        </w:tc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No evidence of the use of standard views. </w:t>
            </w:r>
          </w:p>
          <w:p>
            <w:pPr>
              <w:pStyle w:val="Table Style 2"/>
            </w:pPr>
          </w:p>
        </w:tc>
        <w:tc>
          <w:tcPr>
            <w:tcW w:type="dxa" w:w="21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The application makes use of some basic views with a fixed screen size/orientation.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The app makes use of a limited range of view but only works in a single screen size/orientation.</w:t>
            </w:r>
          </w:p>
        </w:tc>
        <w:tc>
          <w:tcPr>
            <w:tcW w:type="dxa" w:w="19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The app makes use of a wide range of appropriate views and layouts. It works effectively in different screen size/orientation.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The app adapts itself to work effectively on both phones and tablets or any screen sizes and orientation. </w:t>
            </w:r>
          </w:p>
          <w:p>
            <w:pPr>
              <w:pStyle w:val="Table Style 2"/>
            </w:pPr>
          </w:p>
        </w:tc>
        <w:tc>
          <w:tcPr>
            <w:tcW w:type="dxa" w:w="2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The app makes use of custom views and animations to produce a professional standard app that works on any device. 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1001" w:hRule="atLeast"/>
        </w:trPr>
        <w:tc>
          <w:tcPr>
            <w:tcW w:type="dxa" w:w="20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Data Persistence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  <w:rtl w:val="0"/>
                <w:lang w:val="en-US"/>
              </w:rPr>
              <w:t>20%</w:t>
            </w:r>
          </w:p>
        </w:tc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The app does not work. </w:t>
            </w:r>
          </w:p>
          <w:p>
            <w:pPr>
              <w:pStyle w:val="Table Style 2"/>
            </w:pPr>
          </w:p>
        </w:tc>
        <w:tc>
          <w:tcPr>
            <w:tcW w:type="dxa" w:w="21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Data is displayed with errors. </w:t>
            </w:r>
          </w:p>
          <w:p>
            <w:pPr>
              <w:pStyle w:val="Table Style 2"/>
            </w:pP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The correct data is displayed in the app but nothing is persisted if the app is fully closed and opened. </w:t>
            </w:r>
          </w:p>
        </w:tc>
        <w:tc>
          <w:tcPr>
            <w:tcW w:type="dxa" w:w="19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Data is persisted locally when the app is closed fully. (Data is persisted in Local data base)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Data includes complex relationships and is persisted locally. </w:t>
            </w:r>
          </w:p>
        </w:tc>
        <w:tc>
          <w:tcPr>
            <w:tcW w:type="dxa" w:w="2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Data is persisted in both local and Web based APIs databases with a complex relationship.</w:t>
            </w:r>
          </w:p>
        </w:tc>
      </w:tr>
      <w:tr>
        <w:tblPrEx>
          <w:shd w:val="clear" w:color="auto" w:fill="auto"/>
        </w:tblPrEx>
        <w:trPr>
          <w:trHeight w:val="1401" w:hRule="atLeast"/>
        </w:trPr>
        <w:tc>
          <w:tcPr>
            <w:tcW w:type="dxa" w:w="20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Programme Language</w:t>
            </w:r>
          </w:p>
          <w:p>
            <w:pPr>
              <w:pStyle w:val="Table Style 2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  <w:r>
              <w:rPr>
                <w:sz w:val="18"/>
                <w:szCs w:val="18"/>
                <w:rtl w:val="0"/>
              </w:rPr>
              <w:t xml:space="preserve">0% </w:t>
            </w:r>
          </w:p>
        </w:tc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No code has been made available through online repository. </w:t>
            </w:r>
          </w:p>
          <w:p>
            <w:pPr>
              <w:pStyle w:val="Table Style 2"/>
            </w:pPr>
          </w:p>
        </w:tc>
        <w:tc>
          <w:tcPr>
            <w:tcW w:type="dxa" w:w="21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The app demonstrates only limited understanding of the programming language. </w:t>
            </w:r>
          </w:p>
          <w:p>
            <w:pPr>
              <w:pStyle w:val="Table Style 2"/>
            </w:pP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The application is fully functional and the explanation of the code is clear. </w:t>
            </w:r>
          </w:p>
          <w:p>
            <w:pPr>
              <w:pStyle w:val="Table Style 2"/>
            </w:pPr>
          </w:p>
        </w:tc>
        <w:tc>
          <w:tcPr>
            <w:tcW w:type="dxa" w:w="19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Application uses complex class relations, code is full documented.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The application makes full use of the range of structures and 2 or more 3rd-party APIs (including Web APIs). </w:t>
            </w:r>
          </w:p>
          <w:p>
            <w:pPr>
              <w:pStyle w:val="Table Style 2"/>
            </w:pPr>
          </w:p>
        </w:tc>
        <w:tc>
          <w:tcPr>
            <w:tcW w:type="dxa" w:w="2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The application makes full use of the range of structures,  makes appropriate use of 2 or more 3rd-party APIs (including Web APIs) and techniques not mentioned during the course. 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801" w:hRule="atLeast"/>
        </w:trPr>
        <w:tc>
          <w:tcPr>
            <w:tcW w:type="dxa" w:w="20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Sensors Hardware and AI Features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  <w:rtl w:val="0"/>
                <w:lang w:val="en-US"/>
              </w:rPr>
              <w:t>20%</w:t>
            </w:r>
          </w:p>
        </w:tc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The app makes no use of any phone sensors.</w:t>
            </w:r>
          </w:p>
        </w:tc>
        <w:tc>
          <w:tcPr>
            <w:tcW w:type="dxa" w:w="21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A (failed) attempt has been made to incorporate a phone sensor into the app. </w:t>
            </w:r>
          </w:p>
          <w:p>
            <w:pPr>
              <w:pStyle w:val="Table Style 2"/>
            </w:pP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One sensor has been incorporated into the app. </w:t>
            </w:r>
          </w:p>
          <w:p>
            <w:pPr>
              <w:pStyle w:val="Table Style 2"/>
            </w:pPr>
          </w:p>
        </w:tc>
        <w:tc>
          <w:tcPr>
            <w:tcW w:type="dxa" w:w="19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The app makes appropriate use of two phone sensors).</w:t>
            </w:r>
          </w:p>
          <w:p>
            <w:pPr>
              <w:pStyle w:val="Table Style 2"/>
            </w:pP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The app makes appropriate use of multiple sensors (at least 3 sensors).</w:t>
            </w:r>
          </w:p>
          <w:p>
            <w:pPr>
              <w:pStyle w:val="Table Style 2"/>
            </w:pPr>
          </w:p>
        </w:tc>
        <w:tc>
          <w:tcPr>
            <w:tcW w:type="dxa" w:w="2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The app makes appropriate use of multiple phone sensors features and integrated with AI functionalities. 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