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Multi-Level Order-Flow Imbalance in a Limit Order Book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 xml:space="preserve"> (2019)</w:t>
      </w:r>
    </w:p>
    <w:p>
      <w:p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 xml:space="preserve">Focused </w:t>
      </w:r>
      <w:r>
        <w:rPr>
          <w:rFonts w:hint="eastAsia" w:ascii="Times New Roman Bold" w:hAnsi="Times New Roman Bold" w:cs="Times New Roman Bold"/>
          <w:b/>
          <w:bCs/>
          <w:sz w:val="24"/>
          <w:szCs w:val="24"/>
          <w:lang w:val="en-US" w:eastAsia="zh-CN"/>
        </w:rPr>
        <w:t>Question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ome previous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models provide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have conducted researches on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interplay between order flow, liquidity and price formation,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but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they typically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encounter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drawback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being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extreme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complexity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. </w:t>
      </w:r>
    </w:p>
    <w:p>
      <w:p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This paper is 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 address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such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problem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 by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uncover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and fit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ting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simple statistical relationship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which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explain price formation in an LOB in terms of </w:t>
      </w:r>
      <w:r>
        <w:rPr>
          <w:rFonts w:hint="default" w:cs="Times New Roman"/>
          <w:b w:val="0"/>
          <w:bCs w:val="0"/>
          <w:color w:val="FF000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et </w:t>
      </w:r>
      <w:r>
        <w:rPr>
          <w:rFonts w:hint="default" w:cs="Times New Roman"/>
          <w:b w:val="0"/>
          <w:bCs w:val="0"/>
          <w:color w:val="FF0000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>rder</w:t>
      </w:r>
      <w:r>
        <w:rPr>
          <w:rFonts w:hint="default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F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>low</w:t>
      </w:r>
      <w:r>
        <w:rPr>
          <w:rFonts w:hint="default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(an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easily understood and easily measurable input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</w:p>
    <w:p>
      <w:p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Conclusions: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MLOFI equation (16)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reveals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 simple linear relationship between net order-flow at the first M populated price levels in an LOB and the contemporaneous change in mid-price. 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3671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erform OLS regressions and Ridge regressions to fit the MLOFI equation (16)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, and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both the adjusted R2 and the RMSE to assess the goodness-of-fit of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fitted relationships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 and compare the results quantitatively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Analyze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both the sample correlations in the MLOFI vector and the out-of-sample RMSE,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and find that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Ridge regression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performs better than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OLS regression 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in fitting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the MLOFI equation (16)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With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either R2 or out-of-sample RMSE, the goodness-of-fit of the fitted MLOFI equation (16) was considerably stronger for large-tick stocks than small-tick stocks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: -&gt;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overall goodness-of-fit increased as M increased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, but its rate declines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Possible approaches to improve the goodness-of-fit of the MLOFI equation: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Method 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refine the definition of the MLOFI vector to address some of the weaknesses in Section 6.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Method 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use the MLOFI vector to model price impact as a dynamical and latent variable, using the framework recently introduced by Mertens et al. [2019].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 xml:space="preserve">Method 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include other input variables into the regression.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24"/>
          <w:szCs w:val="24"/>
          <w:lang w:val="en-US" w:eastAsia="zh-CN"/>
        </w:rPr>
        <w:t xml:space="preserve">Prerequisite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 xml:space="preserve">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Order Flow, Liquidity and Price Formation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733550"/>
            <wp:effectExtent l="0" t="0" r="1079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/>
          <w:bCs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 xml:space="preserve">Multi-Level Order-Flow Imbalance: </w:t>
      </w:r>
      <w:r>
        <w:rPr>
          <w:rFonts w:hint="default" w:cs="Times New Roman"/>
          <w:b/>
          <w:bCs/>
          <w:sz w:val="24"/>
          <w:szCs w:val="24"/>
          <w:lang w:val="en-US" w:eastAsia="zh-CN"/>
        </w:rPr>
        <w:t>Calculating MLOFI</w:t>
      </w:r>
    </w:p>
    <w:p>
      <w:pPr>
        <w:numPr>
          <w:ilvl w:val="0"/>
          <w:numId w:val="0"/>
        </w:numPr>
        <w:jc w:val="both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14925" cy="3642995"/>
            <wp:effectExtent l="0" t="0" r="158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1453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090930"/>
            <wp:effectExtent l="0" t="0" r="1397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Results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929E1"/>
    <w:multiLevelType w:val="multilevel"/>
    <w:tmpl w:val="1ED929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A3E5"/>
    <w:rsid w:val="2FDFA3E5"/>
    <w:rsid w:val="377FF86A"/>
    <w:rsid w:val="7EEFE7A2"/>
    <w:rsid w:val="BB7ED2EC"/>
    <w:rsid w:val="D1CEBE73"/>
    <w:rsid w:val="FFEF879B"/>
    <w:rsid w:val="FFFF9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2024-03-05T06:40:00Z</dcterms:created>
  <dc:creator>VJ</dc:creator>
  <cp:lastModifiedBy>VJ</cp:lastModifiedBy>
  <dcterms:modified xsi:type="dcterms:W3CDTF">2024-03-07T21:46:08Z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B0448B15116589C8C96CE565B4E13054_41</vt:lpwstr>
  </property>
</Properties>
</file>