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 w:eastAsia="Microsoft YaHei"/>
          <w:b/>
          <w:color w:val="FF7A00"/>
          <w:sz w:val="24"/>
        </w:rPr>
        <w:t>项目技术与商务评估报告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43A8F"/>
          <w:sz w:val="58"/>
        </w:rPr>
        <w:t>智慧翼企业福利商城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color w:val="1F5EFF"/>
          <w:sz w:val="30"/>
        </w:rPr>
        <w:t>全量技术方案、交付边界、客服制度与报价评估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拟用正式域名：</w:t>
      </w:r>
      <w:r>
        <w:rPr>
          <w:rFonts w:ascii="Calibri" w:hAnsi="Calibri" w:eastAsia="Microsoft YaHei"/>
          <w:b w:val="0"/>
          <w:color w:val="1F2937"/>
          <w:sz w:val="21"/>
        </w:rPr>
        <w:t>zhudatuan.com / www.zhudatuan.com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商城展示名称：</w:t>
      </w:r>
      <w:r>
        <w:rPr>
          <w:rFonts w:ascii="Calibri" w:hAnsi="Calibri" w:eastAsia="Microsoft YaHei"/>
          <w:b w:val="0"/>
          <w:color w:val="1F2937"/>
          <w:sz w:val="21"/>
        </w:rPr>
        <w:t>智慧翼企业福利商城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技术服务方：</w:t>
      </w:r>
      <w:r>
        <w:rPr>
          <w:rFonts w:ascii="Calibri" w:hAnsi="Calibri" w:eastAsia="Microsoft YaHei"/>
          <w:b w:val="0"/>
          <w:color w:val="1F2937"/>
          <w:sz w:val="21"/>
        </w:rPr>
        <w:t>雍彻科技（YONGCHE TECH）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当前版本：</w:t>
      </w:r>
      <w:r>
        <w:rPr>
          <w:rFonts w:ascii="Calibri" w:hAnsi="Calibri" w:eastAsia="Microsoft YaHei"/>
          <w:b w:val="0"/>
          <w:color w:val="1F2937"/>
          <w:sz w:val="21"/>
        </w:rPr>
        <w:t>生产演示版 V2，Git 2d09a6c5，公开站点 HTTP 200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报告日期：</w:t>
      </w:r>
      <w:r>
        <w:rPr>
          <w:rFonts w:ascii="Calibri" w:hAnsi="Calibri" w:eastAsia="Microsoft YaHei"/>
          <w:b w:val="0"/>
          <w:color w:val="1F2937"/>
          <w:sz w:val="21"/>
        </w:rPr>
        <w:t>2026年7月24日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文档性质：</w:t>
      </w:r>
      <w:r>
        <w:rPr>
          <w:rFonts w:ascii="Calibri" w:hAnsi="Calibri" w:eastAsia="Microsoft YaHei"/>
          <w:b w:val="0"/>
          <w:color w:val="1F2937"/>
          <w:sz w:val="21"/>
        </w:rPr>
        <w:t>需求澄清、技术评审、报价与合同附件基础稿</w:t>
      </w:r>
    </w:p>
    <w:p>
      <w:pPr>
        <w:spacing w:before="1100"/>
        <w:jc w:val="center"/>
      </w:pPr>
      <w:r>
        <w:rPr>
          <w:rFonts w:ascii="Calibri" w:hAnsi="Calibri" w:eastAsia="Microsoft YaHei"/>
          <w:b/>
          <w:color w:val="C62828"/>
          <w:sz w:val="21"/>
        </w:rPr>
        <w:t>重要说明：当前线上版本是可公开访问的前端演示原型，不是可承载真实资金与订单的正式生产商城。</w:t>
      </w:r>
    </w:p>
    <w:p>
      <w:r>
        <w:br w:type="page"/>
      </w:r>
    </w:p>
    <w:p>
      <w:pPr>
        <w:pStyle w:val="Heading1"/>
      </w:pPr>
      <w:r>
        <w:t>文档导航与使用方式</w:t>
      </w:r>
    </w:p>
    <w:p>
      <w:r>
        <w:rPr>
          <w:rFonts w:ascii="Calibri" w:hAnsi="Calibri" w:eastAsia="Microsoft YaHei"/>
          <w:b w:val="0"/>
          <w:color w:val="1F2937"/>
          <w:sz w:val="22"/>
        </w:rPr>
        <w:t>本报告可直接用于与甲方沟通、内部技术评审、估价以及后续拆分成需求规格说明书（SRS）、概要设计、接口规范、测试方案和运维手册。签约前必须将P0/P1/P2边界、第三方接口责任、数据迁移、验收口径和变更流程写入合同附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600"/>
        <w:gridCol w:w="481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章节</w:t>
            </w:r>
          </w:p>
        </w:tc>
        <w:tc>
          <w:tcPr>
            <w:tcW w:type="dxa" w:w="3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内容</w:t>
            </w:r>
          </w:p>
        </w:tc>
        <w:tc>
          <w:tcPr>
            <w:tcW w:type="dxa" w:w="481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执行摘要与重新评分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回答现在能否交付、修复了什么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当前代码审计与剩余边界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区分演示版与正式生产系统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域名、名称与品牌治理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域名、DNS、证书、备案与运营主体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业务与技术总体架构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四级主体、三类业务管理层和系统分层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功能、数据、接口与安全设计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核心业务闭环和后台能力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客服制度与运营SOP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服务渠道、SLA、升级、质检和人员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项目计划、团队与报价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一个月MVP口径、30%缓冲与费用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测试、验收、上线与运维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验收标准和正式上线门槛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附录A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全量技术需求矩阵（372项）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可拆成甲方确认清单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附录B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接口目录与数据实体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后端设计输入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附录C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风险、假设与合同保护条款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避免无限责任和漏项</w:t>
            </w:r>
          </w:p>
        </w:tc>
      </w:tr>
    </w:tbl>
    <w:p>
      <w:pPr>
        <w:spacing w:after="0"/>
      </w:pPr>
    </w:p>
    <w:p>
      <w:pPr>
        <w:pStyle w:val="Heading1"/>
      </w:pPr>
      <w:r>
        <w:t>1. 执行摘要与重新评分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3A8F"/>
                <w:sz w:val="21"/>
              </w:rPr>
              <w:t>总体结论｜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修复后项目已从“有明显业务漏洞的前端演示稿”提升为“工程基础合格、可公开演示、可继续扩展的高保真原型”。它仍不能承载真实福利余额、真实支付、真实订单和真实卡券。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00"/>
        <w:gridCol w:w="900"/>
        <w:gridCol w:w="5860"/>
      </w:tblGrid>
      <w:tr>
        <w:trPr>
          <w:tblHeader w:val="true"/>
        </w:trPr>
        <w:tc>
          <w:tcPr>
            <w:tcW w:type="dxa" w:w="1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维度</w:t>
            </w:r>
          </w:p>
        </w:tc>
        <w:tc>
          <w:tcPr>
            <w:tcW w:type="dxa" w:w="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修复前</w:t>
            </w:r>
          </w:p>
        </w:tc>
        <w:tc>
          <w:tcPr>
            <w:tcW w:type="dxa" w:w="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修复后</w:t>
            </w:r>
          </w:p>
        </w:tc>
        <w:tc>
          <w:tcPr>
            <w:tcW w:type="dxa" w:w="58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视觉与页面完整度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蓝橙品牌统一，12个业务页面，新增移动端主导航；仍缺完整小程序设计系统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前端工程质量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7.5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严格TS、单元测试、状态统一、商城隔离、依赖0漏洞、可重复构建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演示交付准备度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8.5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生产公开地址HTTP 200，演示环境标识清晰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正式上线准备度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前端基础改善，但后端、资金、权限、管理端和集成仍未建设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综合原型评分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约4.3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6.9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适合作为正式项目的需求与前端基础，不等于生产商城</w:t>
            </w:r>
          </w:p>
        </w:tc>
      </w:tr>
    </w:tbl>
    <w:p>
      <w:pPr>
        <w:spacing w:after="0"/>
      </w:pPr>
    </w:p>
    <w:p>
      <w:pPr>
        <w:pStyle w:val="Heading2"/>
      </w:pPr>
      <w:r>
        <w:t>1.1 本次实际完成的修复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导航字段统一为currentPage，12个主页面可按Context路由切换。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TypeScript strict=true，补齐React类型；当前tsc --noEmit无错误。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福利卡、餐卡和外部补差统一按分计算，任意组合不得超过订单金额。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多供应商拆单采用末单吸收尾差，父订单金额与子订单合计守恒。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localStorage键增加mallId命名空间；购物车、订单、余额、流水、卡券、售后、地址、收藏按商城隔离。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商城切换时同步刷新用户、购物车、订单、地址、收藏并返回首页，防止旧商城页面残留。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首页、个人中心、订单页统一使用Context订单数据；下单、确认收货、售后后同步刷新。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售后页真正调用服务层写入售后记录与订单状态，不再只显示成功文案。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移除虚构ICP备案、400电话、Session与企业专线，明确标注演示环境。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新增移动端五栏底部导航、移动头部、购物车角标、安全区域适配，并隐藏手机首屏的大型PC分类菜单。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新增6个自动化测试，覆盖支付边界、金额精度、商城隔离、超额扣款和拆单守恒。</w:t>
      </w:r>
    </w:p>
    <w:p>
      <w:pPr>
        <w:spacing w:after="80" w:line="30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升级构建依赖并完成npm audit，生产与开发依赖均为0个已知漏洞。</w:t>
      </w:r>
    </w:p>
    <w:p>
      <w:pPr>
        <w:pStyle w:val="Heading2"/>
      </w:pPr>
      <w:r>
        <w:t>1.2 验证证据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检查项</w:t>
            </w:r>
          </w:p>
        </w:tc>
        <w:tc>
          <w:tcPr>
            <w:tcW w:type="dxa" w:w="4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结果</w:t>
            </w:r>
          </w:p>
        </w:tc>
        <w:tc>
          <w:tcPr>
            <w:tcW w:type="dxa" w:w="30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Git提交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2d09a6c5d61dc842d33b9ad84ceee98d5e82e5d3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已推送托管源main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生产版本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Sites V2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部署成功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公开地址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https://zhudatuan-smart-wing.wchswchs.chatgpt.site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 200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类型检查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npm run lint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自动测试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2个测试文件、6个测试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生产构建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vinext build / Vite 8.1.5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依赖审计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npm audit --audit-level=low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0漏洞</w:t>
            </w:r>
          </w:p>
        </w:tc>
      </w:tr>
    </w:tbl>
    <w:p>
      <w:pPr>
        <w:spacing w:after="0"/>
      </w:pPr>
    </w:p>
    <w:p>
      <w:pPr>
        <w:pStyle w:val="Heading1"/>
      </w:pPr>
      <w:r>
        <w:t>2. 当前代码审计与剩余边界</w:t>
      </w:r>
    </w:p>
    <w:p>
      <w:r>
        <w:rPr>
          <w:rFonts w:ascii="Calibri" w:hAnsi="Calibri" w:eastAsia="Microsoft YaHei"/>
          <w:b w:val="0"/>
          <w:color w:val="1F2937"/>
          <w:sz w:val="22"/>
        </w:rPr>
        <w:t>以下问题不是继续修改前端页面就能解决，而是正式项目必须新增的系统能力。报价、工期和合同验收必须以此为边界。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领域</w:t>
            </w:r>
          </w:p>
        </w:tc>
        <w:tc>
          <w:tcPr>
            <w:tcW w:type="dxa" w:w="3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当前状态</w:t>
            </w:r>
          </w:p>
        </w:tc>
        <w:tc>
          <w:tcPr>
            <w:tcW w:type="dxa" w:w="39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正式建设要求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真实数据可信性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余额、订单、卡券仍存浏览器，用户可通过开发者工具修改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建设服务端API、数据库、账本和审计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身份与权限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当前没有登录、SSO、角色和服务端授权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建设IAM、RBAC/ABAC和会话管理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管理后台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没有平台、集团、商城、供应商后台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建设至少三类后台与供应商工作台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真实支付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微信补差只是演示计算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接入商户号、回调验签、对账、退款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供应链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商品、库存、物流、卡券均为Mock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接入供应商并设计重试、幂等、补偿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运营主体、备案、隐私、协议尚未由甲方确认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甲方提供主体资料并完成法务审查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移动端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已有响应式H5基础，但不是微信小程序工程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确定H5/小程序/App路线后独立交付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测试深度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已有关键单元测试，缺E2E、压测、安全和真机矩阵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按上线门槛补齐完整测试体系</w:t>
            </w:r>
          </w:p>
        </w:tc>
      </w:tr>
    </w:tbl>
    <w:p>
      <w:pPr>
        <w:spacing w:after="0"/>
      </w:pPr>
    </w:p>
    <w:p>
      <w:pPr>
        <w:pStyle w:val="Heading1"/>
      </w:pPr>
      <w:r>
        <w:t>3. 域名、名称与品牌治理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项目</w:t>
            </w:r>
          </w:p>
        </w:tc>
        <w:tc>
          <w:tcPr>
            <w:tcW w:type="dxa" w:w="33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建议/现状</w:t>
            </w:r>
          </w:p>
        </w:tc>
        <w:tc>
          <w:tcPr>
            <w:tcW w:type="dxa" w:w="44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治理要求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主域名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zhudatuan.com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已在托管平台登记；DNS尚未完成验证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www域名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www.zhudatuan.com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已登记；建议301跳转至主域名或反向统一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生产临时地址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zhudatuan-smart-wing.wchswchs.chatgpt.site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已公开、HTTP 200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商城展示名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智慧翼企业福利商城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建议甲方书面确认商标/名称使用权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技术服务方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雍彻科技（YONGCHE TECH）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可展示于技术支持与版权说明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运营主体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待甲方确认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必须决定备案、协议、收款、发票与客服责任主体</w:t>
            </w:r>
          </w:p>
        </w:tc>
      </w:tr>
    </w:tbl>
    <w:p>
      <w:pPr>
        <w:spacing w:after="0"/>
      </w:pPr>
    </w:p>
    <w:p>
      <w:pPr>
        <w:pStyle w:val="Heading2"/>
      </w:pPr>
      <w:r>
        <w:t>3.1 当前DNS待办</w:t>
      </w:r>
    </w:p>
    <w:p>
      <w:r>
        <w:rPr>
          <w:rFonts w:ascii="Calibri" w:hAnsi="Calibri" w:eastAsia="Microsoft YaHei"/>
          <w:b w:val="0"/>
          <w:color w:val="1F2937"/>
          <w:sz w:val="22"/>
        </w:rPr>
        <w:t>截至2026年7月24日最终复核，Sites侧证书状态已为active，但自定义域名仍处于pending：主域名访问返回500，www访问返回404，尚未稳定路由到本项目。需要在Cloudflare删除冲突的@与www旧A/AAAA记录，先以“仅DNS”方式添加以下记录；验证完成并确认主域名与www均返回200后，再决定是否启用代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5760"/>
      </w:tblGrid>
      <w:tr>
        <w:trPr>
          <w:tblHeader w:val="true"/>
        </w:trPr>
        <w:tc>
          <w:tcPr>
            <w:tcW w:type="dxa" w:w="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类型</w:t>
            </w:r>
          </w:p>
        </w:tc>
        <w:tc>
          <w:tcPr>
            <w:tcW w:type="dxa" w:w="2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名称</w:t>
            </w:r>
          </w:p>
        </w:tc>
        <w:tc>
          <w:tcPr>
            <w:tcW w:type="dxa" w:w="57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@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162.159.143.30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@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172.66.3.26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CNAME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www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custom-domains.chatgpt.site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TXT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_openai-site-verification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openai-site-verification=M_9k3OeUkf5hKCrUtJeL4cbrRqr6LgcoX3lZtTQKgqE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TXT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_cf-custom-hostname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9337d7ca-44b3-49ac-8a72-c6201b0f62c5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TXT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_openai-site-verification.www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openai-site-verification=WajUbgv-2PcGvmq0e7sNYrzc9jx2Giftbf5THFjEcbA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TXT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_cf-custom-hostname.www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bfde253a-f891-4bf5-8c17-03bde8ec8f19</w:t>
            </w:r>
          </w:p>
        </w:tc>
      </w:tr>
    </w:tbl>
    <w:p>
      <w:pPr>
        <w:spacing w:after="0"/>
      </w:pPr>
    </w:p>
    <w:p>
      <w:pPr>
        <w:pStyle w:val="Heading1"/>
      </w:pPr>
      <w:r>
        <w:t>4. 业务与技术总体架构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3A8F"/>
                <w:sz w:val="21"/>
              </w:rPr>
              <w:t>四级业务主体｜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平台 → 集团 → 商城 → 员工。管理责任通常体现为平台运营、集团管理、商城运营三类业务管理层；员工是消费与服务对象，不算管理层。因此可以表述为“四级业务主体、三级管理层”。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Calibri" w:hAnsi="Calibri" w:eastAsia="Microsoft YaHei"/>
          <w:b w:val="0"/>
          <w:color w:val="1F2937"/>
          <w:sz w:val="22"/>
        </w:rPr>
        <w:t>建议的正式系统分为体验层、业务服务层、平台能力层和基础设施层。所有服务端查询必须自动注入tenant_id、enterprise_id和mall_id，不能依赖前端传参实现隔离。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层级</w:t>
            </w:r>
          </w:p>
        </w:tc>
        <w:tc>
          <w:tcPr>
            <w:tcW w:type="dxa" w:w="76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组成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体验层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PC Web、移动H5、微信小程序、平台后台、集团后台、商城后台、供应商工作台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业务服务层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用户、商品、搜索、价格、促销、账户、购物车、订单、支付、履约、卡券、售后、客服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平台能力层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IAM、租户、审计、消息、任务、文件、配置、API网关、报表、风控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关系数据库、Redis、对象存储、搜索引擎、消息队列、日志与指标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基础设施层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DNS/CDN/WAF、容器或Serverless、CI/CD、密钥、备份、监控、容灾</w:t>
            </w:r>
          </w:p>
        </w:tc>
      </w:tr>
    </w:tbl>
    <w:p>
      <w:pPr>
        <w:spacing w:after="0"/>
      </w:pPr>
    </w:p>
    <w:p>
      <w:pPr>
        <w:pStyle w:val="Heading2"/>
      </w:pPr>
      <w:r>
        <w:t>4.1 关键架构原则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账本优先：余额不得只保存一个可修改数字，必须使用不可变流水和事务生成余额快照。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服务端授权：任何订单、地址、卡券、余额查询都必须在服务端校验用户与商城归属。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幂等优先：下单、扣款、支付回调、退款、发码和供应商推单均需要幂等键。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事件驱动：订单状态、物流、发码、退款和通知用事件及重试队列解耦。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可观测：每个请求携带trace_id，资金和订单操作必须能从用户追溯到外部回调。</w:t>
      </w:r>
    </w:p>
    <w:p>
      <w:pPr>
        <w:spacing w:after="80" w:line="30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  <w:sz w:val="22"/>
        </w:rPr>
        <w:t>配置化：集团、商城、支付方式、账户适用范围、客服SLA和供应商路由均应后台配置。</w:t>
      </w:r>
    </w:p>
    <w:p>
      <w:pPr>
        <w:pStyle w:val="Heading1"/>
      </w:pPr>
      <w:r>
        <w:t>5. 功能、数据、接口与安全设计</w:t>
      </w:r>
    </w:p>
    <w:p>
      <w:pPr>
        <w:pStyle w:val="Heading2"/>
      </w:pPr>
      <w:r>
        <w:t>5.1 核心交易闭环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员工通过手机号、微信或企业SSO登录；服务端确定其集团、商城、角色和账户。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商品中心按商城、供应商、区域和账户适用范围返回可见商品与实时价格库存。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购物车保存SKU快照，但结算时必须重新校验价格、库存、限购、地址和促销。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结算服务按供应商和履约方式拆单，账户服务预占福利资金，支付服务处理外部补差。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支付成功后订单进入履约；虚拟商品发码，实物商品推送供应商并订阅物流。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售后按子订单和支付构成计算退款，福利与餐卡原路退回对应账本，微信原路退款。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  <w:sz w:val="22"/>
        </w:rPr>
        <w:t>每天执行支付、账户、订单、供应商结算四方对账，差异进入财务工单。</w:t>
      </w:r>
    </w:p>
    <w:p>
      <w:pPr>
        <w:pStyle w:val="Heading2"/>
      </w:pPr>
      <w:r>
        <w:t>5.2 数据模型</w:t>
      </w:r>
    </w:p>
    <w:p>
      <w:r>
        <w:rPr>
          <w:rFonts w:ascii="Calibri" w:hAnsi="Calibri" w:eastAsia="Microsoft YaHei"/>
          <w:b w:val="0"/>
          <w:color w:val="1F2937"/>
          <w:sz w:val="22"/>
        </w:rPr>
        <w:t>正式数据库至少包含45个核心实体。每个业务表建议包含id、tenant_id、enterprise_id、mall_id、created_at、updated_at、created_by、version和软删除/状态字段；资金流水不允许物理删除。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实体1</w:t>
            </w:r>
          </w:p>
        </w:tc>
        <w:tc>
          <w:tcPr>
            <w:tcW w:type="dxa" w:w="234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实体2</w:t>
            </w:r>
          </w:p>
        </w:tc>
        <w:tc>
          <w:tcPr>
            <w:tcW w:type="dxa" w:w="234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实体3</w:t>
            </w:r>
          </w:p>
        </w:tc>
        <w:tc>
          <w:tcPr>
            <w:tcW w:type="dxa" w:w="234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实体4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tenant_group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enterprise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mall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department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user_identity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permission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user_role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supplier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distributor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category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spu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sku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price_rule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inventory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promotion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coupon_template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user_coupon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welfare_account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account_budget_batch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account_ledger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cart_item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address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parent_order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sub_order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order_item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payment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refund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settlement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shipment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verification_code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after_sale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invoice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customer_ticket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ticket_message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operation_audit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login_audit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notification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content_slot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integration_job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webhook_event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5.3 API设计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2100"/>
        <w:gridCol w:w="2260"/>
      </w:tblGrid>
      <w:tr>
        <w:trPr>
          <w:tblHeader w:val="true"/>
        </w:trPr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分组</w:t>
            </w:r>
          </w:p>
        </w:tc>
        <w:tc>
          <w:tcPr>
            <w:tcW w:type="dxa" w:w="3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示例接口</w:t>
            </w:r>
          </w:p>
        </w:tc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认证</w:t>
            </w:r>
          </w:p>
        </w:tc>
        <w:tc>
          <w:tcPr>
            <w:tcW w:type="dxa" w:w="22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6"/>
              </w:rPr>
              <w:t>横切要求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/auth/sms/send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/auth/login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/auth/refresh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/malls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/malls/switch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身份与组织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/sso/callback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/products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/products/{id}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/categories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/search/suggestions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/search/hotwords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/favorites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商品与搜索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DELETE /favorites/{id}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/cart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/cart/items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/cart/items/{id}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DELETE /cart/items/{id}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/checkout/preview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/orders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购物车与结算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/payments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/orders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/orders/{id}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/orders/{id}/cancel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/orders/{id}/confirm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/after-sales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/after-sales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订单与售后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/refunds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/accounts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/accounts/logs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/accounts/grants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/coupons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/coupons/{id}/verify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账户与卡券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/coupon-provider/callback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/admin/products/import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/admin/budgets/grant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/admin/reports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/suppliers/orders/push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/logistics/callback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/payments/callback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管理与集成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/health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JWT/SSO + tenant context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幂等、审计、统一错误码</w:t>
            </w:r>
          </w:p>
        </w:tc>
      </w:tr>
    </w:tbl>
    <w:p>
      <w:pPr>
        <w:spacing w:after="0"/>
      </w:pPr>
    </w:p>
    <w:p>
      <w:pPr>
        <w:pStyle w:val="Heading2"/>
      </w:pPr>
      <w:r>
        <w:t>5.4 安全基线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敏感数据采用TLS传输；卡密、身份证件、手机号等按字段加密，密钥不进入代码仓库。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福利账户扣减使用数据库事务、乐观锁/行锁和幂等凭证，禁止前端直接写余额。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管理员采用MFA、最小权限、IP/设备策略和高风险操作二次确认。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API网关执行签名、时间戳、nonce、限流、黑名单与回放防护。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日志不得记录完整卡密、验证码、支付签名、身份证号和访问令牌。</w:t>
      </w:r>
    </w:p>
    <w:p>
      <w:pPr>
        <w:spacing w:after="80" w:line="30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>上线前至少完成依赖扫描、SAST、DAST、越权专项、支付回调专项和隐私合规检查。</w:t>
      </w:r>
    </w:p>
    <w:p>
      <w:pPr>
        <w:pStyle w:val="Heading1"/>
      </w:pPr>
      <w:r>
        <w:t>6. 客服制度与运营SOP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3A8F"/>
                <w:sz w:val="21"/>
              </w:rPr>
              <w:t>责任边界｜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客服制度必须由甲方运营主体确认。雍彻科技可提供系统、工单、知识库、报表和技术二线支持；商品承诺、退款裁决、发票和资金责任应由运营主体及供应商承担。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制度项</w:t>
            </w:r>
          </w:p>
        </w:tc>
        <w:tc>
          <w:tcPr>
            <w:tcW w:type="dxa" w:w="3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建议</w:t>
            </w:r>
          </w:p>
        </w:tc>
        <w:tc>
          <w:tcPr>
            <w:tcW w:type="dxa" w:w="40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控制要求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服务渠道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商城在线客服、企业微信、电话、邮件、工单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所有渠道最终归集同一工单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服务时间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工作日09:00-18:00；大促/发薪日可延长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非服务时间机器人收单并提示响应时间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L1一线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咨询、订单查询、规则解释、标准售后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使用知识库，不得越权修改资金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L2业务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复杂售后、供应商催办、财务对账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商城运营/供应链/财务处理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L3技术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系统故障、数据异常、支付回调、批量事故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雍彻科技技术支持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重大事件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资金错扣、批量卡密泄露、全站不可用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15分钟升级，立即止损并通报</w:t>
            </w:r>
          </w:p>
        </w:tc>
      </w:tr>
    </w:tbl>
    <w:p>
      <w:pPr>
        <w:spacing w:after="0"/>
      </w:pPr>
    </w:p>
    <w:p>
      <w:pPr>
        <w:pStyle w:val="Heading2"/>
      </w:pPr>
      <w:r>
        <w:t>6.1 工单优先级与SLA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700"/>
        <w:gridCol w:w="1300"/>
        <w:gridCol w:w="2300"/>
        <w:gridCol w:w="211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级别</w:t>
            </w:r>
          </w:p>
        </w:tc>
        <w:tc>
          <w:tcPr>
            <w:tcW w:type="dxa" w:w="2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场景</w:t>
            </w:r>
          </w:p>
        </w:tc>
        <w:tc>
          <w:tcPr>
            <w:tcW w:type="dxa" w:w="13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首次响应</w:t>
            </w:r>
          </w:p>
        </w:tc>
        <w:tc>
          <w:tcPr>
            <w:tcW w:type="dxa" w:w="23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目标</w:t>
            </w:r>
          </w:p>
        </w:tc>
        <w:tc>
          <w:tcPr>
            <w:tcW w:type="dxa" w:w="211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升级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 紧急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全站不可用、批量资金错误、数据泄露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15分钟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2小时止损/4小时恢复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电话+群组+管理层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P1 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支付失败、批量订单/发码异常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30分钟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4小时临时方案/8小时恢复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L2+L3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P2 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单用户订单、退款、物流异常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2小时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1个工作日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L1→L2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P3 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咨询、建议、非阻断缺陷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4小时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3个工作日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</w:tr>
    </w:tbl>
    <w:p>
      <w:pPr>
        <w:spacing w:after="0"/>
      </w:pPr>
    </w:p>
    <w:p>
      <w:pPr>
        <w:pStyle w:val="Heading2"/>
      </w:pPr>
      <w:r>
        <w:t>6.2 标准客服流程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受理：自动生成工单号，记录集团、商城、员工、订单、渠道与用户诉求。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身份核验：只询问必要信息；涉及余额、卡密和地址变更必须二次核验。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分类定级：按咨询、订单、物流、卡券、支付、退款、发票、投诉和系统故障分类。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首响与告知：说明当前状态、预计处理时间和下一次反馈时间，不作无授权承诺。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处理与协同：调用供应商、财务或技术子工单；主工单对用户保持单一窗口。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结果确认：提供处理结果、退款去向、到账时间或替代方案，并让用户确认。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关闭与评价：用户确认或超时自动关闭，收集满意度；低分自动复核。</w:t>
      </w:r>
    </w:p>
    <w:p>
      <w:pPr>
        <w:spacing w:after="80" w:line="290" w:lineRule="auto"/>
        <w:ind w:left="540" w:hanging="279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>复盘：P0/P1及重复问题进入知识库、供应商考核和产品改进清单。</w:t>
      </w:r>
    </w:p>
    <w:p>
      <w:pPr>
        <w:pStyle w:val="Heading2"/>
      </w:pPr>
      <w:r>
        <w:t>6.3 客服质检与KPI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指标</w:t>
            </w:r>
          </w:p>
        </w:tc>
        <w:tc>
          <w:tcPr>
            <w:tcW w:type="dxa" w:w="1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建议目标</w:t>
            </w:r>
          </w:p>
        </w:tc>
        <w:tc>
          <w:tcPr>
            <w:tcW w:type="dxa" w:w="54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口径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首次响应达标率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≥95%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按优先级SLA统计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一次解决率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≥75%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无二次转派且用户确认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工单按时解决率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≥92%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扣除用户/供应商等待需留证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用户满意度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≥4.5/5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样本量和评价率同时披露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重复咨询率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逐月下降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驱动页面、规则和知识库优化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资金类差错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0容忍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一旦发生按P0处理</w:t>
            </w:r>
          </w:p>
        </w:tc>
      </w:tr>
    </w:tbl>
    <w:p>
      <w:pPr>
        <w:spacing w:after="0"/>
      </w:pPr>
    </w:p>
    <w:p>
      <w:pPr>
        <w:pStyle w:val="Heading1"/>
      </w:pPr>
      <w:r>
        <w:t>7. 项目计划、团队与报价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7A00"/>
                <w:sz w:val="21"/>
              </w:rPr>
              <w:t>一个月MVP的正确口径｜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可以做4周开发冲刺，但合同工期建议写6周：4周实施 + 30%缓冲（约1.2周）+ 验收/上线窗口。若要求自然月内正式上线，必须冻结P0范围、接口按时提供，并配备8-10人并行团队。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60"/>
        <w:gridCol w:w="3400"/>
      </w:tblGrid>
      <w:tr>
        <w:trPr>
          <w:tblHeader w:val="true"/>
        </w:trPr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时间</w:t>
            </w:r>
          </w:p>
        </w:tc>
        <w:tc>
          <w:tcPr>
            <w:tcW w:type="dxa" w:w="44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工作</w:t>
            </w:r>
          </w:p>
        </w:tc>
        <w:tc>
          <w:tcPr>
            <w:tcW w:type="dxa" w:w="34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出口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第0周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需求冻结、接口清单、原型与验收口径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甲方签字确认P0和排除项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第1周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后端底座、租户/IAM、数据库、前后台框架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登录、四级隔离、基础后台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第2周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商品、购物车、账户、订单、管理端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主交易流程联调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第3周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支付/供应商/物流或卡券最小接口、售后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端到端闭环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第4周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回归、安全、数据初始化、培训、预发布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候选上线版本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缓冲1.2周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接口延期、缺陷、甲方反馈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不新增范围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验收0.8周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UAT、上线审批、DNS/证书、观察期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签署验收单</w:t>
            </w:r>
          </w:p>
        </w:tc>
      </w:tr>
    </w:tbl>
    <w:p>
      <w:pPr>
        <w:spacing w:after="0"/>
      </w:pPr>
    </w:p>
    <w:p>
      <w:pPr>
        <w:pStyle w:val="Heading2"/>
      </w:pPr>
      <w:r>
        <w:t>7.1 MVP团队与人月测算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000"/>
        <w:gridCol w:w="1300"/>
        <w:gridCol w:w="4960"/>
      </w:tblGrid>
      <w:tr>
        <w:trPr>
          <w:tblHeader w:val="true"/>
        </w:trP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角色</w:t>
            </w:r>
          </w:p>
        </w:tc>
        <w:tc>
          <w:tcPr>
            <w:tcW w:type="dxa" w:w="10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人数</w:t>
            </w:r>
          </w:p>
        </w:tc>
        <w:tc>
          <w:tcPr>
            <w:tcW w:type="dxa" w:w="13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人月</w:t>
            </w:r>
          </w:p>
        </w:tc>
        <w:tc>
          <w:tcPr>
            <w:tcW w:type="dxa" w:w="49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项目/产品经理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1.2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需求、范围、计划、验收、甲方协调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UI/UX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0.8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PC+移动关键页面与设计系统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前端工程师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2.0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商城前台与管理后台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后端工程师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3.0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租户、账户、订单、接口、后台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测试工程师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1-2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功能、接口、回归、上线验收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DevOps/安全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0.5-1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0.6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环境、CI/CD、监控、安全基线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8.9人月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一个月并行投入</w:t>
            </w:r>
          </w:p>
        </w:tc>
      </w:tr>
    </w:tbl>
    <w:p>
      <w:pPr>
        <w:spacing w:after="0"/>
      </w:pPr>
    </w:p>
    <w:p>
      <w:pPr>
        <w:pStyle w:val="Heading2"/>
      </w:pPr>
      <w:r>
        <w:t>7.2 建议报价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方案</w:t>
            </w:r>
          </w:p>
        </w:tc>
        <w:tc>
          <w:tcPr>
            <w:tcW w:type="dxa" w:w="24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建议价格</w:t>
            </w:r>
          </w:p>
        </w:tc>
        <w:tc>
          <w:tcPr>
            <w:tcW w:type="dxa" w:w="44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现有演示原型及工程修复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3-6万元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仅前端演示、部署、文档，不含真实业务后台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受控生产型MVP（P0）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建议52.8万元含税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目标成交48.8-52.8万元；底价42.8万元且必须减范围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标准正式V1（P0+主要P1）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98-138万元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PC+移动+多后台+核心集成，3-4个月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完整多租户福利平台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180-320万元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多供应商、结算、BI、风控、容灾，6-9个月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年度维保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软件合同额15%-20%/年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缺陷、升级、监控、应急；新需求另计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客服运营人力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2.5-4.5万元/月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2名一线+兼职主管参考，不含大促扩容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43A8F"/>
          <w:sz w:val="22"/>
        </w:rPr>
        <w:t>报价策略建议：先报52.8万元的受控生产型MVP，并将第三方费用、真实支付/供应商资质、甲方接口改造、历史数据清洗、微信认证与备案、短信和客服人力列为甲方承担或单独报价。不要以当前前端页面数量直接估价；正式成本主要在后端资金安全、数据隔离、管理后台、接口联调、测试和验收。</w:t>
      </w:r>
    </w:p>
    <w:p>
      <w:pPr>
        <w:pStyle w:val="Heading2"/>
      </w:pPr>
      <w:r>
        <w:t>7.3 MVP费用拆分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成本项</w:t>
            </w:r>
          </w:p>
        </w:tc>
        <w:tc>
          <w:tcPr>
            <w:tcW w:type="dxa" w:w="1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金额</w:t>
            </w:r>
          </w:p>
        </w:tc>
        <w:tc>
          <w:tcPr>
            <w:tcW w:type="dxa" w:w="47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需求/产品/项目管理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6.0万元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范围、原型、验收、会议、风险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UI/UX与移动适配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3.5万元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设计系统和关键移动流程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前端商城与后台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9.0万元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PC/H5与管理端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后端与数据库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14.0万元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租户、账户、订单、后台、接口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第三方集成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6.0万元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限定2类核心接口，超出另计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测试与安全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5.0万元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自动化、回归、安全、UAT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DevOps与上线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2.5万元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环境、部署、监控、DNS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30%风险与交付缓冲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6.8万元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接口不确定性、验收、返工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52.8万元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建议含税对外总价</w:t>
            </w:r>
          </w:p>
        </w:tc>
      </w:tr>
    </w:tbl>
    <w:p>
      <w:pPr>
        <w:spacing w:after="0"/>
      </w:pPr>
    </w:p>
    <w:p>
      <w:pPr>
        <w:pStyle w:val="Heading2"/>
      </w:pPr>
      <w:r>
        <w:t>7.4 第三方与持续费用（不建议包死）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域名、备案、商标、微信认证、支付商户、短信签名等主体费用由甲方承担。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云资源、CDN、数据库、对象存储、日志、WAF按流量计费；初期可预估1.2-6万元/年。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短信、实名认证、地图、物流查询、电子发票、卡券供应商按调用量或交易额计费。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支付通道手续费、供应商结算、退款手续费和资金监管不属于软件开发费。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新增供应商接口建议按1.5-5万元/家评估；非标准或缺文档接口单独估时。</w:t>
      </w:r>
    </w:p>
    <w:p>
      <w:pPr>
        <w:spacing w:after="80" w:line="300" w:lineRule="auto"/>
        <w:ind w:left="540" w:hanging="279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  <w:sz w:val="22"/>
        </w:rPr>
        <w:t>微信小程序认证、上架整改、隐私合规整改应保留1-3轮，超出约定轮次走变更。</w:t>
      </w:r>
    </w:p>
    <w:p>
      <w:pPr>
        <w:pStyle w:val="Heading2"/>
      </w:pPr>
      <w:r>
        <w:t>7.5 商务与付款建议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节点</w:t>
            </w:r>
          </w:p>
        </w:tc>
        <w:tc>
          <w:tcPr>
            <w:tcW w:type="dxa" w:w="14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比例</w:t>
            </w:r>
          </w:p>
        </w:tc>
        <w:tc>
          <w:tcPr>
            <w:tcW w:type="dxa" w:w="54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合同签署/启动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人员排期和环境准备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原型与技术方案确认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P0范围、接口、验收基线签字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预发布/UAT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候选版本部署并进入验收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终验与移交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验收单、源码、文档、培训完成</w:t>
            </w:r>
          </w:p>
        </w:tc>
      </w:tr>
    </w:tbl>
    <w:p>
      <w:pPr>
        <w:spacing w:after="0"/>
      </w:pPr>
    </w:p>
    <w:p>
      <w:pPr>
        <w:pStyle w:val="Heading1"/>
      </w:pPr>
      <w:r>
        <w:t>8. 测试、验收、上线与运维</w:t>
      </w:r>
    </w:p>
    <w:p>
      <w:pPr>
        <w:pStyle w:val="Heading2"/>
      </w:pPr>
      <w:r>
        <w:t>8.1 正式上线门槛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P0需求全部有测试用例、负责人和验收结果，P1/P2未完成项不得口头混入验收。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至少完成两个集团、两个商城、多个角色的越权与数据串租户专项测试。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资金账本、支付回调、重复下单、退款、拆单尾差与对账通过专项测试。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关键接口具备超时、重试、幂等、熔断和人工补偿路径。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完成浏览器、移动真机、弱网、性能、安全、备份恢复和故障演练。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隐私政策、用户协议、客服渠道、发票、备案和运营主体信息已确认。</w:t>
      </w:r>
    </w:p>
    <w:p>
      <w:pPr>
        <w:spacing w:after="80" w:line="300" w:lineRule="auto"/>
        <w:ind w:left="540" w:hanging="279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  <w:sz w:val="22"/>
        </w:rPr>
        <w:t>生产监控、告警、值班、回滚、应急联系人和变更窗口已就绪。</w:t>
      </w:r>
    </w:p>
    <w:p>
      <w:pPr>
        <w:pStyle w:val="Heading2"/>
      </w:pPr>
      <w:r>
        <w:t>8.2 建议验收指标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维度</w:t>
            </w:r>
          </w:p>
        </w:tc>
        <w:tc>
          <w:tcPr>
            <w:tcW w:type="dxa" w:w="71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8"/>
              </w:rPr>
              <w:t>建议门槛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可用性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月可用性≥99.9%（计划维护除外）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性能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核心页面LCP≤2.5秒目标；核心API P95≤500ms（不含第三方）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核心API 5xx低于0.1%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无未处置的严重/高危漏洞；越权与资金专项通过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隔离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跨集团/商城数据访问测试100%阻断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订单、账户、支付对账差异可解释且闭环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P0用例通过率100%，P1≥98%，无阻断缺陷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部署、接口、数据字典、运维、客服与培训资料齐全</w:t>
            </w:r>
          </w:p>
        </w:tc>
      </w:tr>
    </w:tbl>
    <w:p>
      <w:pPr>
        <w:spacing w:after="0"/>
      </w:pPr>
    </w:p>
    <w:p>
      <w:pPr>
        <w:pStyle w:val="Heading1"/>
      </w:pPr>
      <w:r>
        <w:t>附录A. 全量技术需求矩阵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3A8F"/>
                <w:sz w:val="21"/>
              </w:rPr>
              <w:t>使用方法｜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本矩阵共372项。签约前由甲方逐项勾选MVP/正式V1/二期或不做，并补充责任人、数据来源和验收证据。当前优先级是雍彻科技基于通用福利商城给出的建议，不代替甲方书面确认。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DOM｜域名、品牌与备案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主域名所有权核验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系统必须支持主域名所有权核验，并在平台/集团/商城/员工四级上下文中执行权限与数据范围校验。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以至少2个集团、2个商城、3类角色完成主域名所有权核验正向、越权、异常和审计验证；关键结果可追溯且数据不串租户。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裸域名解析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系统必须支持裸域名解析，并在平台/集团/商城/员工四级上下文中执行权限与数据范围校验。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以至少2个集团、2个商城、3类角色完成裸域名解析正向、越权、异常和审计验证；关键结果可追溯且数据不串租户。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www子域名解析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系统必须支持www子域名解析，并在平台/集团/商城/员工四级上下文中执行权限与数据范围校验。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以至少2个集团、2个商城、3类角色完成www子域名解析正向、越权、异常和审计验证；关键结果可追溯且数据不串租户。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HTTPS证书自动续期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系统必须支持HTTPS证书自动续期，并在平台/集团/商城/员工四级上下文中执行权限与数据范围校验。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以至少2个集团、2个商城、3类角色完成HTTPS证书自动续期正向、越权、异常和审计验证；关键结果可追溯且数据不串租户。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域名到期提醒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系统必须支持域名到期提醒，并在平台/集团/商城/员工四级上下文中执行权限与数据范围校验。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以至少2个集团、2个商城、3类角色完成域名到期提醒正向、越权、异常和审计验证；关键结果可追溯且数据不串租户。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DNS变更审计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系统必须支持DNS变更审计，并在平台/集团/商城/员工四级上下文中执行权限与数据范围校验。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以至少2个集团、2个商城、3类角色完成DNS变更审计正向、越权、异常和审计验证；关键结果可追溯且数据不串租户。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品牌中文名称确认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系统必须支持品牌中文名称确认，并在平台/集团/商城/员工四级上下文中执行权限与数据范围校验。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以至少2个集团、2个商城、3类角色完成品牌中文名称确认正向、越权、异常和审计验证；关键结果可追溯且数据不串租户。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品牌英文名称确认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系统必须支持品牌英文名称确认，并在平台/集团/商城/员工四级上下文中执行权限与数据范围校验。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以至少2个集团、2个商城、3类角色完成品牌英文名称确认正向、越权、异常和审计验证；关键结果可追溯且数据不串租户。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Logo与图标规范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系统必须支持Logo与图标规范，并在平台/集团/商城/员工四级上下文中执行权限与数据范围校验。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以至少2个集团、2个商城、3类角色完成Logo与图标规范正向、越权、异常和审计验证；关键结果可追溯且数据不串租户。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ICP备案主体确认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系统必须支持ICP备案主体确认，并在平台/集团/商城/员工四级上下文中执行权限与数据范围校验。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以至少2个集团、2个商城、3类角色完成ICP备案主体确认正向、越权、异常和审计验证；关键结果可追溯且数据不串租户。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公安联网备案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系统必须支持公安联网备案，并在平台/集团/商城/员工四级上下文中执行权限与数据范围校验。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以至少2个集团、2个商城、3类角色完成公安联网备案正向、越权、异常和审计验证；关键结果可追溯且数据不串租户。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DOM-012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隐私政策域名一致性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系统必须支持隐私政策域名一致性，并在平台/集团/商城/员工四级上下文中执行权限与数据范围校验。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以至少2个集团、2个商城、3类角色完成隐私政策域名一致性正向、越权、异常和审计验证；关键结果可追溯且数据不串租户。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TEN｜平台、集团、商城与员工四级体系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平台级租户管理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系统必须支持平台级租户管理，并在平台/集团/商城/员工四级上下文中执行权限与数据范围校验。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以至少2个集团、2个商城、3类角色完成平台级租户管理正向、越权、异常和审计验证；关键结果可追溯且数据不串租户。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集团级组织管理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系统必须支持集团级组织管理，并在平台/集团/商城/员工四级上下文中执行权限与数据范围校验。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以至少2个集团、2个商城、3类角色完成集团级组织管理正向、越权、异常和审计验证；关键结果可追溯且数据不串租户。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商城级独立配置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系统必须支持商城级独立配置，并在平台/集团/商城/员工四级上下文中执行权限与数据范围校验。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以至少2个集团、2个商城、3类角色完成商城级独立配置正向、越权、异常和审计验证；关键结果可追溯且数据不串租户。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员工级账户归属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系统必须支持员工级账户归属，并在平台/集团/商城/员工四级上下文中执行权限与数据范围校验。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以至少2个集团、2个商城、3类角色完成员工级账户归属正向、越权、异常和审计验证；关键结果可追溯且数据不串租户。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集团与商城一对多关系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系统必须支持集团与商城一对多关系，并在平台/集团/商城/员工四级上下文中执行权限与数据范围校验。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以至少2个集团、2个商城、3类角色完成集团与商城一对多关系正向、越权、异常和审计验证；关键结果可追溯且数据不串租户。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商城切换权限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系统必须支持商城切换权限，并在平台/集团/商城/员工四级上下文中执行权限与数据范围校验。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以至少2个集团、2个商城、3类角色完成商城切换权限正向、越权、异常和审计验证；关键结果可追溯且数据不串租户。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租户数据强隔离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系统必须支持租户数据强隔离，并在平台/集团/商城/员工四级上下文中执行权限与数据范围校验。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以至少2个集团、2个商城、3类角色完成租户数据强隔离正向、越权、异常和审计验证；关键结果可追溯且数据不串租户。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商城数据强隔离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系统必须支持商城数据强隔离，并在平台/集团/商城/员工四级上下文中执行权限与数据范围校验。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以至少2个集团、2个商城、3类角色完成商城数据强隔离正向、越权、异常和审计验证；关键结果可追溯且数据不串租户。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跨集团访问禁止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系统必须支持跨集团访问禁止，并在平台/集团/商城/员工四级上下文中执行权限与数据范围校验。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以至少2个集团、2个商城、3类角色完成跨集团访问禁止正向、越权、异常和审计验证；关键结果可追溯且数据不串租户。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组织架构同步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系统必须支持组织架构同步，并在平台/集团/商城/员工四级上下文中执行权限与数据范围校验。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以至少2个集团、2个商城、3类角色完成组织架构同步正向、越权、异常和审计验证；关键结果可追溯且数据不串租户。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商城停用与恢复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系统必须支持商城停用与恢复，并在平台/集团/商城/员工四级上下文中执行权限与数据范围校验。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以至少2个集团、2个商城、3类角色完成商城停用与恢复正向、越权、异常和审计验证；关键结果可追溯且数据不串租户。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TEN-012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租户数据导出与注销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系统必须支持租户数据导出与注销，并在平台/集团/商城/员工四级上下文中执行权限与数据范围校验。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以至少2个集团、2个商城、3类角色完成租户数据导出与注销正向、越权、异常和审计验证；关键结果可追溯且数据不串租户。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IAM｜身份、登录与权限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手机号验证码登录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系统必须支持手机号验证码登录，并在平台/集团/商城/员工四级上下文中执行权限与数据范围校验。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以至少2个集团、2个商城、3类角色完成手机号验证码登录正向、越权、异常和审计验证；关键结果可追溯且数据不串租户。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企业单点登录SSO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系统必须支持企业单点登录SSO，并在平台/集团/商城/员工四级上下文中执行权限与数据范围校验。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以至少2个集团、2个商城、3类角色完成企业单点登录SSO正向、越权、异常和审计验证；关键结果可追溯且数据不串租户。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微信授权登录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系统必须支持微信授权登录，并在平台/集团/商城/员工四级上下文中执行权限与数据范围校验。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以至少2个集团、2个商城、3类角色完成微信授权登录正向、越权、异常和审计验证；关键结果可追溯且数据不串租户。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账号密码策略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系统必须支持账号密码策略，并在平台/集团/商城/员工四级上下文中执行权限与数据范围校验。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以至少2个集团、2个商城、3类角色完成账号密码策略正向、越权、异常和审计验证；关键结果可追溯且数据不串租户。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多因素认证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系统必须支持多因素认证，并在平台/集团/商城/员工四级上下文中执行权限与数据范围校验。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以至少2个集团、2个商城、3类角色完成多因素认证正向、越权、异常和审计验证；关键结果可追溯且数据不串租户。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角色权限RBAC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系统必须支持角色权限RBAC，并在平台/集团/商城/员工四级上下文中执行权限与数据范围校验。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以至少2个集团、2个商城、3类角色完成角色权限RBAC正向、越权、异常和审计验证；关键结果可追溯且数据不串租户。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数据权限ABAC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系统必须支持数据权限ABAC，并在平台/集团/商城/员工四级上下文中执行权限与数据范围校验。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以至少2个集团、2个商城、3类角色完成数据权限ABAC正向、越权、异常和审计验证；关键结果可追溯且数据不串租户。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会话超时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系统必须支持会话超时，并在平台/集团/商城/员工四级上下文中执行权限与数据范围校验。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以至少2个集团、2个商城、3类角色完成会话超时正向、越权、异常和审计验证；关键结果可追溯且数据不串租户。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异地登录告警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系统必须支持异地登录告警，并在平台/集团/商城/员工四级上下文中执行权限与数据范围校验。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以至少2个集团、2个商城、3类角色完成异地登录告警正向、越权、异常和审计验证；关键结果可追溯且数据不串租户。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账号冻结解冻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系统必须支持账号冻结解冻，并在平台/集团/商城/员工四级上下文中执行权限与数据范围校验。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以至少2个集团、2个商城、3类角色完成账号冻结解冻正向、越权、异常和审计验证；关键结果可追溯且数据不串租户。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离职员工自动停用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系统必须支持离职员工自动停用，并在平台/集团/商城/员工四级上下文中执行权限与数据范围校验。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以至少2个集团、2个商城、3类角色完成离职员工自动停用正向、越权、异常和审计验证；关键结果可追溯且数据不串租户。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IAM-012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管理员操作二次确认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系统必须支持管理员操作二次确认，并在平台/集团/商城/员工四级上下文中执行权限与数据范围校验。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以至少2个集团、2个商城、3类角色完成管理员操作二次确认正向、越权、异常和审计验证；关键结果可追溯且数据不串租户。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USR｜员工与个人中心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员工档案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系统必须支持员工档案，并在平台/集团/商城/员工四级上下文中执行权限与数据范围校验。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以至少2个集团、2个商城、3类角色完成员工档案正向、越权、异常和审计验证；关键结果可追溯且数据不串租户。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工号唯一性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系统必须支持工号唯一性，并在平台/集团/商城/员工四级上下文中执行权限与数据范围校验。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以至少2个集团、2个商城、3类角色完成工号唯一性正向、越权、异常和审计验证；关键结果可追溯且数据不串租户。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部门岗位信息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系统必须支持部门岗位信息，并在平台/集团/商城/员工四级上下文中执行权限与数据范围校验。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以至少2个集团、2个商城、3类角色完成部门岗位信息正向、越权、异常和审计验证；关键结果可追溯且数据不串租户。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实名信息最小化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系统必须支持实名信息最小化，并在平台/集团/商城/员工四级上下文中执行权限与数据范围校验。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以至少2个集团、2个商城、3类角色完成实名信息最小化正向、越权、异常和审计验证；关键结果可追溯且数据不串租户。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收货地址管理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系统必须支持收货地址管理，并在平台/集团/商城/员工四级上下文中执行权限与数据范围校验。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以至少2个集团、2个商城、3类角色完成收货地址管理正向、越权、异常和审计验证；关键结果可追溯且数据不串租户。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默认地址规则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系统必须支持默认地址规则，并在平台/集团/商城/员工四级上下文中执行权限与数据范围校验。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以至少2个集团、2个商城、3类角色完成默认地址规则正向、越权、异常和审计验证；关键结果可追溯且数据不串租户。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收藏夹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系统必须支持收藏夹，并在平台/集团/商城/员工四级上下文中执行权限与数据范围校验。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以至少2个集团、2个商城、3类角色完成收藏夹正向、越权、异常和审计验证；关键结果可追溯且数据不串租户。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浏览历史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系统必须支持浏览历史，并在平台/集团/商城/员工四级上下文中执行权限与数据范围校验。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以至少2个集团、2个商城、3类角色完成浏览历史正向、越权、异常和审计验证；关键结果可追溯且数据不串租户。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消息中心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系统必须支持消息中心，并在平台/集团/商城/员工四级上下文中执行权限与数据范围校验。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以至少2个集团、2个商城、3类角色完成消息中心正向、越权、异常和审计验证；关键结果可追溯且数据不串租户。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个人发票抬头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系统必须支持个人发票抬头，并在平台/集团/商城/员工四级上下文中执行权限与数据范围校验。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以至少2个集团、2个商城、3类角色完成个人发票抬头正向、越权、异常和审计验证；关键结果可追溯且数据不串租户。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账户安全设置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系统必须支持账户安全设置，并在平台/集团/商城/员工四级上下文中执行权限与数据范围校验。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以至少2个集团、2个商城、3类角色完成账户安全设置正向、越权、异常和审计验证；关键结果可追溯且数据不串租户。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USR-012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个人数据下载与注销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系统必须支持个人数据下载与注销，并在平台/集团/商城/员工四级上下文中执行权限与数据范围校验。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以至少2个集团、2个商城、3类角色完成个人数据下载与注销正向、越权、异常和审计验证；关键结果可追溯且数据不串租户。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PC｜PC Web商城前台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京东式高密度首页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系统必须支持京东式高密度首页，并在平台/集团/商城/员工四级上下文中执行权限与数据范围校验。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以至少2个集团、2个商城、3类角色完成京东式高密度首页正向、越权、异常和审计验证；关键结果可追溯且数据不串租户。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顶部企业状态栏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系统必须支持顶部企业状态栏，并在平台/集团/商城/员工四级上下文中执行权限与数据范围校验。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以至少2个集团、2个商城、3类角色完成顶部企业状态栏正向、越权、异常和审计验证；关键结果可追溯且数据不串租户。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多级商品分类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系统必须支持多级商品分类，并在平台/集团/商城/员工四级上下文中执行权限与数据范围校验。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以至少2个集团、2个商城、3类角色完成多级商品分类正向、越权、异常和审计验证；关键结果可追溯且数据不串租户。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全局搜索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系统必须支持全局搜索，并在平台/集团/商城/员工四级上下文中执行权限与数据范围校验。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以至少2个集团、2个商城、3类角色完成全局搜索正向、越权、异常和审计验证；关键结果可追溯且数据不串租户。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活动轮播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系统必须支持活动轮播，并在平台/集团/商城/员工四级上下文中执行权限与数据范围校验。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以至少2个集团、2个商城、3类角色完成活动轮播正向、越权、异常和审计验证；关键结果可追溯且数据不串租户。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商品瀑布流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系统必须支持商品瀑布流，并在平台/集团/商城/员工四级上下文中执行权限与数据范围校验。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以至少2个集团、2个商城、3类角色完成商品瀑布流正向、越权、异常和审计验证；关键结果可追溯且数据不串租户。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商品详情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系统必须支持商品详情，并在平台/集团/商城/员工四级上下文中执行权限与数据范围校验。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以至少2个集团、2个商城、3类角色完成商品详情正向、越权、异常和审计验证；关键结果可追溯且数据不串租户。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购物车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系统必须支持购物车，并在平台/集团/商城/员工四级上下文中执行权限与数据范围校验。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以至少2个集团、2个商城、3类角色完成购物车正向、越权、异常和审计验证；关键结果可追溯且数据不串租户。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结算台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系统必须支持结算台，并在平台/集团/商城/员工四级上下文中执行权限与数据范围校验。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以至少2个集团、2个商城、3类角色完成结算台正向、越权、异常和审计验证；关键结果可追溯且数据不串租户。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订单中心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系统必须支持订单中心，并在平台/集团/商城/员工四级上下文中执行权限与数据范围校验。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以至少2个集团、2个商城、3类角色完成订单中心正向、越权、异常和审计验证；关键结果可追溯且数据不串租户。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个人中心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系统必须支持个人中心，并在平台/集团/商城/员工四级上下文中执行权限与数据范围校验。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以至少2个集团、2个商城、3类角色完成个人中心正向、越权、异常和审计验证；关键结果可追溯且数据不串租户。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PC-012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桌面端无障碍键盘操作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系统必须支持桌面端无障碍键盘操作，并在平台/集团/商城/员工四级上下文中执行权限与数据范围校验。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以至少2个集团、2个商城、3类角色完成桌面端无障碍键盘操作正向、越权、异常和审计验证；关键结果可追溯且数据不串租户。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MOB｜移动H5与微信小程序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美团式移动首页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系统必须支持美团式移动首页，并在平台/集团/商城/员工四级上下文中执行权限与数据范围校验。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以至少2个集团、2个商城、3类角色完成美团式移动首页正向、越权、异常和审计验证；关键结果可追溯且数据不串租户。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底部五栏导航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系统必须支持底部五栏导航，并在平台/集团/商城/员工四级上下文中执行权限与数据范围校验。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以至少2个集团、2个商城、3类角色完成底部五栏导航正向、越权、异常和审计验证；关键结果可追溯且数据不串租户。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移动分类页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系统必须支持移动分类页，并在平台/集团/商城/员工四级上下文中执行权限与数据范围校验。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以至少2个集团、2个商城、3类角色完成移动分类页正向、越权、异常和审计验证；关键结果可追溯且数据不串租户。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移动搜索联想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系统必须支持移动搜索联想，并在平台/集团/商城/员工四级上下文中执行权限与数据范围校验。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以至少2个集团、2个商城、3类角色完成移动搜索联想正向、越权、异常和审计验证；关键结果可追溯且数据不串租户。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移动商品详情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系统必须支持移动商品详情，并在平台/集团/商城/员工四级上下文中执行权限与数据范围校验。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以至少2个集团、2个商城、3类角色完成移动商品详情正向、越权、异常和审计验证；关键结果可追溯且数据不串租户。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移动购物车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系统必须支持移动购物车，并在平台/集团/商城/员工四级上下文中执行权限与数据范围校验。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以至少2个集团、2个商城、3类角色完成移动购物车正向、越权、异常和审计验证；关键结果可追溯且数据不串租户。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移动结算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系统必须支持移动结算，并在平台/集团/商城/员工四级上下文中执行权限与数据范围校验。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以至少2个集团、2个商城、3类角色完成移动结算正向、越权、异常和审计验证；关键结果可追溯且数据不串租户。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安全区域适配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系统必须支持安全区域适配，并在平台/集团/商城/员工四级上下文中执行权限与数据范围校验。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以至少2个集团、2个商城、3类角色完成安全区域适配正向、越权、异常和审计验证；关键结果可追溯且数据不串租户。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触摸目标尺寸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系统必须支持触摸目标尺寸，并在平台/集团/商城/员工四级上下文中执行权限与数据范围校验。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以至少2个集团、2个商城、3类角色完成触摸目标尺寸正向、越权、异常和审计验证；关键结果可追溯且数据不串租户。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微信小程序登录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系统必须支持微信小程序登录，并在平台/集团/商城/员工四级上下文中执行权限与数据范围校验。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以至少2个集团、2个商城、3类角色完成微信小程序登录正向、越权、异常和审计验证；关键结果可追溯且数据不串租户。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小程序支付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系统必须支持小程序支付，并在平台/集团/商城/员工四级上下文中执行权限与数据范围校验。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以至少2个集团、2个商城、3类角色完成小程序支付正向、越权、异常和审计验证；关键结果可追溯且数据不串租户。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MOB-012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小程序审核与发布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系统必须支持小程序审核与发布，并在平台/集团/商城/员工四级上下文中执行权限与数据范围校验。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以至少2个集团、2个商城、3类角色完成小程序审核与发布正向、越权、异常和审计验证；关键结果可追溯且数据不串租户。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PRD｜商品中心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SPU管理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系统必须支持SPU管理，并在平台/集团/商城/员工四级上下文中执行权限与数据范围校验。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以至少2个集团、2个商城、3类角色完成SPU管理正向、越权、异常和审计验证；关键结果可追溯且数据不串租户。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SKU管理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系统必须支持SKU管理，并在平台/集团/商城/员工四级上下文中执行权限与数据范围校验。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以至少2个集团、2个商城、3类角色完成SKU管理正向、越权、异常和审计验证；关键结果可追溯且数据不串租户。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规格属性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系统必须支持规格属性，并在平台/集团/商城/员工四级上下文中执行权限与数据范围校验。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以至少2个集团、2个商城、3类角色完成规格属性正向、越权、异常和审计验证；关键结果可追溯且数据不串租户。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商品图片视频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系统必须支持商品图片视频，并在平台/集团/商城/员工四级上下文中执行权限与数据范围校验。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以至少2个集团、2个商城、3类角色完成商品图片视频正向、越权、异常和审计验证；关键结果可追溯且数据不串租户。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商品详情富文本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系统必须支持商品详情富文本，并在平台/集团/商城/员工四级上下文中执行权限与数据范围校验。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以至少2个集团、2个商城、3类角色完成商品详情富文本正向、越权、异常和审计验证；关键结果可追溯且数据不串租户。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商品上下架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系统必须支持商品上下架，并在平台/集团/商城/员工四级上下文中执行权限与数据范围校验。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以至少2个集团、2个商城、3类角色完成商品上下架正向、越权、异常和审计验证；关键结果可追溯且数据不串租户。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库存状态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系统必须支持库存状态，并在平台/集团/商城/员工四级上下文中执行权限与数据范围校验。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以至少2个集团、2个商城、3类角色完成库存状态正向、越权、异常和审计验证；关键结果可追溯且数据不串租户。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企业专享商品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系统必须支持企业专享商品，并在平台/集团/商城/员工四级上下文中执行权限与数据范围校验。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以至少2个集团、2个商城、3类角色完成企业专享商品正向、越权、异常和审计验证；关键结果可追溯且数据不串租户。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虚拟商品类型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系统必须支持虚拟商品类型，并在平台/集团/商城/员工四级上下文中执行权限与数据范围校验。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以至少2个集团、2个商城、3类角色完成虚拟商品类型正向、越权、异常和审计验证；关键结果可追溯且数据不串租户。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服务商品类型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系统必须支持服务商品类型，并在平台/集团/商城/员工四级上下文中执行权限与数据范围校验。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以至少2个集团、2个商城、3类角色完成服务商品类型正向、越权、异常和审计验证；关键结果可追溯且数据不串租户。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商品审核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系统必须支持商品审核，并在平台/集团/商城/员工四级上下文中执行权限与数据范围校验。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以至少2个集团、2个商城、3类角色完成商品审核正向、越权、异常和审计验证；关键结果可追溯且数据不串租户。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PRD-012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商品批量导入导出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系统必须支持商品批量导入导出，并在平台/集团/商城/员工四级上下文中执行权限与数据范围校验。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以至少2个集团、2个商城、3类角色完成商品批量导入导出正向、越权、异常和审计验证；关键结果可追溯且数据不串租户。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CAT｜分类、搜索与推荐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三级类目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系统必须支持三级类目，并在平台/集团/商城/员工四级上下文中执行权限与数据范围校验。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以至少2个集团、2个商城、3类角色完成三级类目正向、越权、异常和审计验证；关键结果可追溯且数据不串租户。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类目排序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系统必须支持类目排序，并在平台/集团/商城/员工四级上下文中执行权限与数据范围校验。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以至少2个集团、2个商城、3类角色完成类目排序正向、越权、异常和审计验证；关键结果可追溯且数据不串租户。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品牌筛选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系统必须支持品牌筛选，并在平台/集团/商城/员工四级上下文中执行权限与数据范围校验。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以至少2个集团、2个商城、3类角色完成品牌筛选正向、越权、异常和审计验证；关键结果可追溯且数据不串租户。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属性筛选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系统必须支持属性筛选，并在平台/集团/商城/员工四级上下文中执行权限与数据范围校验。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以至少2个集团、2个商城、3类角色完成属性筛选正向、越权、异常和审计验证；关键结果可追溯且数据不串租户。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价格筛选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系统必须支持价格筛选，并在平台/集团/商城/员工四级上下文中执行权限与数据范围校验。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以至少2个集团、2个商城、3类角色完成价格筛选正向、越权、异常和审计验证；关键结果可追溯且数据不串租户。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库存筛选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系统必须支持库存筛选，并在平台/集团/商城/员工四级上下文中执行权限与数据范围校验。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以至少2个集团、2个商城、3类角色完成库存筛选正向、越权、异常和审计验证；关键结果可追溯且数据不串租户。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关键词纠错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系统必须支持关键词纠错，并在平台/集团/商城/员工四级上下文中执行权限与数据范围校验。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以至少2个集团、2个商城、3类角色完成关键词纠错正向、越权、异常和审计验证；关键结果可追溯且数据不串租户。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搜索热词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系统必须支持搜索热词，并在平台/集团/商城/员工四级上下文中执行权限与数据范围校验。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以至少2个集团、2个商城、3类角色完成搜索热词正向、越权、异常和审计验证；关键结果可追溯且数据不串租户。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搜索无结果推荐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系统必须支持搜索无结果推荐，并在平台/集团/商城/员工四级上下文中执行权限与数据范围校验。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以至少2个集团、2个商城、3类角色完成搜索无结果推荐正向、越权、异常和审计验证；关键结果可追溯且数据不串租户。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销量排序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系统必须支持销量排序，并在平台/集团/商城/员工四级上下文中执行权限与数据范围校验。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以至少2个集团、2个商城、3类角色完成销量排序正向、越权、异常和审计验证；关键结果可追溯且数据不串租户。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个性化推荐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系统必须支持个性化推荐，并在平台/集团/商城/员工四级上下文中执行权限与数据范围校验。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以至少2个集团、2个商城、3类角色完成个性化推荐正向、越权、异常和审计验证；关键结果可追溯且数据不串租户。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CAT-012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搜索日志分析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系统必须支持搜索日志分析，并在平台/集团/商城/员工四级上下文中执行权限与数据范围校验。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以至少2个集团、2个商城、3类角色完成搜索日志分析正向、越权、异常和审计验证；关键结果可追溯且数据不串租户。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PRI｜价格、促销与权益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市场价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系统必须支持市场价，并在平台/集团/商城/员工四级上下文中执行权限与数据范围校验。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以至少2个集团、2个商城、3类角色完成市场价正向、越权、异常和审计验证；关键结果可追溯且数据不串租户。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福利专享价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系统必须支持福利专享价，并在平台/集团/商城/员工四级上下文中执行权限与数据范围校验。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以至少2个集团、2个商城、3类角色完成福利专享价正向、越权、异常和审计验证；关键结果可追溯且数据不串租户。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集团协议价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系统必须支持集团协议价，并在平台/集团/商城/员工四级上下文中执行权限与数据范围校验。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以至少2个集团、2个商城、3类角色完成集团协议价正向、越权、异常和审计验证；关键结果可追溯且数据不串租户。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员工分层价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系统必须支持员工分层价，并在平台/集团/商城/员工四级上下文中执行权限与数据范围校验。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以至少2个集团、2个商城、3类角色完成员工分层价正向、越权、异常和审计验证；关键结果可追溯且数据不串租户。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限时促销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系统必须支持限时促销，并在平台/集团/商城/员工四级上下文中执行权限与数据范围校验。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以至少2个集团、2个商城、3类角色完成限时促销正向、越权、异常和审计验证；关键结果可追溯且数据不串租户。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优惠券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系统必须支持优惠券，并在平台/集团/商城/员工四级上下文中执行权限与数据范围校验。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以至少2个集团、2个商城、3类角色完成优惠券正向、越权、异常和审计验证；关键结果可追溯且数据不串租户。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满减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系统必须支持满减，并在平台/集团/商城/员工四级上下文中执行权限与数据范围校验。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以至少2个集团、2个商城、3类角色完成满减正向、越权、异常和审计验证；关键结果可追溯且数据不串租户。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礼盒组合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系统必须支持礼盒组合，并在平台/集团/商城/员工四级上下文中执行权限与数据范围校验。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以至少2个集团、2个商城、3类角色完成礼盒组合正向、越权、异常和审计验证；关键结果可追溯且数据不串租户。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限购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系统必须支持限购，并在平台/集团/商城/员工四级上下文中执行权限与数据范围校验。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以至少2个集团、2个商城、3类角色完成限购正向、越权、异常和审计验证；关键结果可追溯且数据不串租户。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促销叠加规则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系统必须支持促销叠加规则，并在平台/集团/商城/员工四级上下文中执行权限与数据范围校验。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以至少2个集团、2个商城、3类角色完成促销叠加规则正向、越权、异常和审计验证；关键结果可追溯且数据不串租户。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PRI-012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价格变更审计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系统必须支持价格变更审计，并在平台/集团/商城/员工四级上下文中执行权限与数据范围校验。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以至少2个集团、2个商城、3类角色完成价格变更审计正向、越权、异常和审计验证；关键结果可追溯且数据不串租户。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ACC｜福利账户与预算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福利卡账户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系统必须支持福利卡账户，并在平台/集团/商城/员工四级上下文中执行权限与数据范围校验。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以至少2个集团、2个商城、3类角色完成福利卡账户正向、越权、异常和审计验证；关键结果可追溯且数据不串租户。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餐卡账户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系统必须支持餐卡账户，并在平台/集团/商城/员工四级上下文中执行权限与数据范围校验。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以至少2个集团、2个商城、3类角色完成餐卡账户正向、越权、异常和审计验证；关键结果可追溯且数据不串租户。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账户余额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系统必须支持账户余额，并在平台/集团/商城/员工四级上下文中执行权限与数据范围校验。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以至少2个集团、2个商城、3类角色完成账户余额正向、越权、异常和审计验证；关键结果可追溯且数据不串租户。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预算批次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系统必须支持预算批次，并在平台/集团/商城/员工四级上下文中执行权限与数据范围校验。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以至少2个集团、2个商城、3类角色完成预算批次正向、越权、异常和审计验证；关键结果可追溯且数据不串租户。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发放名单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系统必须支持发放名单，并在平台/集团/商城/员工四级上下文中执行权限与数据范围校验。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以至少2个集团、2个商城、3类角色完成发放名单正向、越权、异常和审计验证；关键结果可追溯且数据不串租户。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有效期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系统必须支持有效期，并在平台/集团/商城/员工四级上下文中执行权限与数据范围校验。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以至少2个集团、2个商城、3类角色完成有效期正向、越权、异常和审计验证；关键结果可追溯且数据不串租户。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使用范围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系统必须支持使用范围，并在平台/集团/商城/员工四级上下文中执行权限与数据范围校验。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以至少2个集团、2个商城、3类角色完成使用范围正向、越权、异常和审计验证；关键结果可追溯且数据不串租户。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冻结解冻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系统必须支持冻结解冻，并在平台/集团/商城/员工四级上下文中执行权限与数据范围校验。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以至少2个集团、2个商城、3类角色完成冻结解冻正向、越权、异常和审计验证；关键结果可追溯且数据不串租户。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扣减原子性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系统必须支持扣减原子性，并在平台/集团/商城/员工四级上下文中执行权限与数据范围校验。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以至少2个集团、2个商城、3类角色完成扣减原子性正向、越权、异常和审计验证；关键结果可追溯且数据不串租户。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退款原路返回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系统必须支持退款原路返回，并在平台/集团/商城/员工四级上下文中执行权限与数据范围校验。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以至少2个集团、2个商城、3类角色完成退款原路返回正向、越权、异常和审计验证；关键结果可追溯且数据不串租户。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账户流水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系统必须支持账户流水，并在平台/集团/商城/员工四级上下文中执行权限与数据范围校验。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以至少2个集团、2个商城、3类角色完成账户流水正向、越权、异常和审计验证；关键结果可追溯且数据不串租户。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ACC-012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财务对账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系统必须支持财务对账，并在平台/集团/商城/员工四级上下文中执行权限与数据范围校验。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以至少2个集团、2个商城、3类角色完成财务对账正向、越权、异常和审计验证；关键结果可追溯且数据不串租户。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CHK｜购物车与结算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购物车按商城隔离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系统必须支持购物车按商城隔离，并在平台/集团/商城/员工四级上下文中执行权限与数据范围校验。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以至少2个集团、2个商城、3类角色完成购物车按商城隔离正向、越权、异常和审计验证；关键结果可追溯且数据不串租户。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购物车按用户隔离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系统必须支持购物车按用户隔离，并在平台/集团/商城/员工四级上下文中执行权限与数据范围校验。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以至少2个集团、2个商城、3类角色完成购物车按用户隔离正向、越权、异常和审计验证；关键结果可追溯且数据不串租户。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SKU合并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系统必须支持SKU合并，并在平台/集团/商城/员工四级上下文中执行权限与数据范围校验。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以至少2个集团、2个商城、3类角色完成SKU合并正向、越权、异常和审计验证；关键结果可追溯且数据不串租户。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库存校验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系统必须支持库存校验，并在平台/集团/商城/员工四级上下文中执行权限与数据范围校验。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以至少2个集团、2个商城、3类角色完成库存校验正向、越权、异常和审计验证；关键结果可追溯且数据不串租户。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价格二次校验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系统必须支持价格二次校验，并在平台/集团/商城/员工四级上下文中执行权限与数据范围校验。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以至少2个集团、2个商城、3类角色完成价格二次校验正向、越权、异常和审计验证；关键结果可追溯且数据不串租户。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配送地址校验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系统必须支持配送地址校验，并在平台/集团/商城/员工四级上下文中执行权限与数据范围校验。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以至少2个集团、2个商城、3类角色完成配送地址校验正向、越权、异常和审计验证；关键结果可追溯且数据不串租户。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供应商拆单预览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系统必须支持供应商拆单预览，并在平台/集团/商城/员工四级上下文中执行权限与数据范围校验。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以至少2个集团、2个商城、3类角色完成供应商拆单预览正向、越权、异常和审计验证；关键结果可追溯且数据不串租户。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福利卡抵扣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系统必须支持福利卡抵扣，并在平台/集团/商城/员工四级上下文中执行权限与数据范围校验。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以至少2个集团、2个商城、3类角色完成福利卡抵扣正向、越权、异常和审计验证；关键结果可追溯且数据不串租户。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餐卡抵扣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系统必须支持餐卡抵扣，并在平台/集团/商城/员工四级上下文中执行权限与数据范围校验。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以至少2个集团、2个商城、3类角色完成餐卡抵扣正向、越权、异常和审计验证；关键结果可追溯且数据不串租户。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微信补差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系统必须支持微信补差，并在平台/集团/商城/员工四级上下文中执行权限与数据范围校验。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以至少2个集团、2个商城、3类角色完成微信补差正向、越权、异常和审计验证；关键结果可追溯且数据不串租户。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订单幂等提交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系统必须支持订单幂等提交，并在平台/集团/商城/员工四级上下文中执行权限与数据范围校验。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以至少2个集团、2个商城、3类角色完成订单幂等提交正向、越权、异常和审计验证；关键结果可追溯且数据不串租户。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CHK-012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防重复支付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系统必须支持防重复支付，并在平台/集团/商城/员工四级上下文中执行权限与数据范围校验。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以至少2个集团、2个商城、3类角色完成防重复支付正向、越权、异常和审计验证；关键结果可追溯且数据不串租户。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ORD｜订单中心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父子订单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系统必须支持父子订单，并在平台/集团/商城/员工四级上下文中执行权限与数据范围校验。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以至少2个集团、2个商城、3类角色完成父子订单正向、越权、异常和审计验证；关键结果可追溯且数据不串租户。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订单编号规则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系统必须支持订单编号规则，并在平台/集团/商城/员工四级上下文中执行权限与数据范围校验。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以至少2个集团、2个商城、3类角色完成订单编号规则正向、越权、异常和审计验证；关键结果可追溯且数据不串租户。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订单状态机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系统必须支持订单状态机，并在平台/集团/商城/员工四级上下文中执行权限与数据范围校验。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以至少2个集团、2个商城、3类角色完成订单状态机正向、越权、异常和审计验证；关键结果可追溯且数据不串租户。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订单快照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系统必须支持订单快照，并在平台/集团/商城/员工四级上下文中执行权限与数据范围校验。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以至少2个集团、2个商城、3类角色完成订单快照正向、越权、异常和审计验证；关键结果可追溯且数据不串租户。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订单搜索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系统必须支持订单搜索，并在平台/集团/商城/员工四级上下文中执行权限与数据范围校验。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以至少2个集团、2个商城、3类角色完成订单搜索正向、越权、异常和审计验证；关键结果可追溯且数据不串租户。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订单筛选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系统必须支持订单筛选，并在平台/集团/商城/员工四级上下文中执行权限与数据范围校验。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以至少2个集团、2个商城、3类角色完成订单筛选正向、越权、异常和审计验证；关键结果可追溯且数据不串租户。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取消订单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系统必须支持取消订单，并在平台/集团/商城/员工四级上下文中执行权限与数据范围校验。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以至少2个集团、2个商城、3类角色完成取消订单正向、越权、异常和审计验证；关键结果可追溯且数据不串租户。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确认收货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系统必须支持确认收货，并在平台/集团/商城/员工四级上下文中执行权限与数据范围校验。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以至少2个集团、2个商城、3类角色完成确认收货正向、越权、异常和审计验证；关键结果可追溯且数据不串租户。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订单超时关闭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系统必须支持订单超时关闭，并在平台/集团/商城/员工四级上下文中执行权限与数据范围校验。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以至少2个集团、2个商城、3类角色完成订单超时关闭正向、越权、异常和审计验证；关键结果可追溯且数据不串租户。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虚拟订单自动完成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系统必须支持虚拟订单自动完成，并在平台/集团/商城/员工四级上下文中执行权限与数据范围校验。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以至少2个集团、2个商城、3类角色完成虚拟订单自动完成正向、越权、异常和审计验证；关键结果可追溯且数据不串租户。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订单导出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系统必须支持订单导出，并在平台/集团/商城/员工四级上下文中执行权限与数据范围校验。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以至少2个集团、2个商城、3类角色完成订单导出正向、越权、异常和审计验证；关键结果可追溯且数据不串租户。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ORD-012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订单审计轨迹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系统必须支持订单审计轨迹，并在平台/集团/商城/员工四级上下文中执行权限与数据范围校验。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以至少2个集团、2个商城、3类角色完成订单审计轨迹正向、越权、异常和审计验证；关键结果可追溯且数据不串租户。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PAY｜支付、清结算与对账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微信支付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系统必须支持微信支付，并在平台/集团/商城/员工四级上下文中执行权限与数据范围校验。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以至少2个集团、2个商城、3类角色完成微信支付正向、越权、异常和审计验证；关键结果可追溯且数据不串租户。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支付回调验签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系统必须支持支付回调验签，并在平台/集团/商城/员工四级上下文中执行权限与数据范围校验。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以至少2个集团、2个商城、3类角色完成支付回调验签正向、越权、异常和审计验证；关键结果可追溯且数据不串租户。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支付幂等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系统必须支持支付幂等，并在平台/集团/商城/员工四级上下文中执行权限与数据范围校验。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以至少2个集团、2个商城、3类角色完成支付幂等正向、越权、异常和审计验证；关键结果可追溯且数据不串租户。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福利账户组合支付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系统必须支持福利账户组合支付，并在平台/集团/商城/员工四级上下文中执行权限与数据范围校验。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以至少2个集团、2个商城、3类角色完成福利账户组合支付正向、越权、异常和审计验证；关键结果可追溯且数据不串租户。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退款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系统必须支持退款，并在平台/集团/商城/员工四级上下文中执行权限与数据范围校验。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以至少2个集团、2个商城、3类角色完成退款正向、越权、异常和审计验证；关键结果可追溯且数据不串租户。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部分退款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系统必须支持部分退款，并在平台/集团/商城/员工四级上下文中执行权限与数据范围校验。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以至少2个集团、2个商城、3类角色完成部分退款正向、越权、异常和审计验证；关键结果可追溯且数据不串租户。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支付异常补单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系统必须支持支付异常补单，并在平台/集团/商城/员工四级上下文中执行权限与数据范围校验。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以至少2个集团、2个商城、3类角色完成支付异常补单正向、越权、异常和审计验证；关键结果可追溯且数据不串租户。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日对账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系统必须支持日对账，并在平台/集团/商城/员工四级上下文中执行权限与数据范围校验。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以至少2个集团、2个商城、3类角色完成日对账正向、越权、异常和审计验证；关键结果可追溯且数据不串租户。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差错处理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系统必须支持差错处理，并在平台/集团/商城/员工四级上下文中执行权限与数据范围校验。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以至少2个集团、2个商城、3类角色完成差错处理正向、越权、异常和审计验证；关键结果可追溯且数据不串租户。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供应商结算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系统必须支持供应商结算，并在平台/集团/商城/员工四级上下文中执行权限与数据范围校验。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以至少2个集团、2个商城、3类角色完成供应商结算正向、越权、异常和审计验证；关键结果可追溯且数据不串租户。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平台服务费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系统必须支持平台服务费，并在平台/集团/商城/员工四级上下文中执行权限与数据范围校验。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以至少2个集团、2个商城、3类角色完成平台服务费正向、越权、异常和审计验证；关键结果可追溯且数据不串租户。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PAY-012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财务结算单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系统必须支持财务结算单，并在平台/集团/商城/员工四级上下文中执行权限与数据范围校验。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以至少2个集团、2个商城、3类角色完成财务结算单正向、越权、异常和审计验证；关键结果可追溯且数据不串租户。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VIR｜虚拟卡券与核销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卡券库存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系统必须支持卡券库存，并在平台/集团/商城/员工四级上下文中执行权限与数据范围校验。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以至少2个集团、2个商城、3类角色完成卡券库存正向、越权、异常和审计验证；关键结果可追溯且数据不串租户。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卡券发码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系统必须支持卡券发码，并在平台/集团/商城/员工四级上下文中执行权限与数据范围校验。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以至少2个集团、2个商城、3类角色完成卡券发码正向、越权、异常和审计验证；关键结果可追溯且数据不串租户。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卡密加密存储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系统必须支持卡密加密存储，并在平台/集团/商城/员工四级上下文中执行权限与数据范围校验。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以至少2个集团、2个商城、3类角色完成卡密加密存储正向、越权、异常和审计验证；关键结果可追溯且数据不串租户。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二维码核销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系统必须支持二维码核销，并在平台/集团/商城/员工四级上下文中执行权限与数据范围校验。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以至少2个集团、2个商城、3类角色完成二维码核销正向、越权、异常和审计验证；关键结果可追溯且数据不串租户。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动态核销码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系统必须支持动态核销码，并在平台/集团/商城/员工四级上下文中执行权限与数据范围校验。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以至少2个集团、2个商城、3类角色完成动态核销码正向、越权、异常和审计验证；关键结果可追溯且数据不串租户。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核销门店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系统必须支持核销门店，并在平台/集团/商城/员工四级上下文中执行权限与数据范围校验。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以至少2个集团、2个商城、3类角色完成核销门店正向、越权、异常和审计验证；关键结果可追溯且数据不串租户。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使用有效期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系统必须支持使用有效期，并在平台/集团/商城/员工四级上下文中执行权限与数据范围校验。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以至少2个集团、2个商城、3类角色完成使用有效期正向、越权、异常和审计验证；关键结果可追溯且数据不串租户。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核销撤销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系统必须支持核销撤销，并在平台/集团/商城/员工四级上下文中执行权限与数据范围校验。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以至少2个集团、2个商城、3类角色完成核销撤销正向、越权、异常和审计验证；关键结果可追溯且数据不串租户。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异常卡券补发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系统必须支持异常卡券补发，并在平台/集团/商城/员工四级上下文中执行权限与数据范围校验。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以至少2个集团、2个商城、3类角色完成异常卡券补发正向、越权、异常和审计验证；关键结果可追溯且数据不串租户。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供应商发码回调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系统必须支持供应商发码回调，并在平台/集团/商城/员工四级上下文中执行权限与数据范围校验。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以至少2个集团、2个商城、3类角色完成供应商发码回调正向、越权、异常和审计验证；关键结果可追溯且数据不串租户。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卡券状态同步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系统必须支持卡券状态同步，并在平台/集团/商城/员工四级上下文中执行权限与数据范围校验。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以至少2个集团、2个商城、3类角色完成卡券状态同步正向、越权、异常和审计验证；关键结果可追溯且数据不串租户。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VIR-012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卡券泄露处置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系统必须支持卡券泄露处置，并在平台/集团/商城/员工四级上下文中执行权限与数据范围校验。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以至少2个集团、2个商城、3类角色完成卡券泄露处置正向、越权、异常和审计验证；关键结果可追溯且数据不串租户。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FUL｜实物履约与物流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仓库路由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系统必须支持仓库路由，并在平台/集团/商城/员工四级上下文中执行权限与数据范围校验。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以至少2个集团、2个商城、3类角色完成仓库路由正向、越权、异常和审计验证；关键结果可追溯且数据不串租户。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供应商发货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系统必须支持供应商发货，并在平台/集团/商城/员工四级上下文中执行权限与数据范围校验。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以至少2个集团、2个商城、3类角色完成供应商发货正向、越权、异常和审计验证；关键结果可追溯且数据不串租户。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物流单号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系统必须支持物流单号，并在平台/集团/商城/员工四级上下文中执行权限与数据范围校验。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以至少2个集团、2个商城、3类角色完成物流单号正向、越权、异常和审计验证；关键结果可追溯且数据不串租户。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物流轨迹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系统必须支持物流轨迹，并在平台/集团/商城/员工四级上下文中执行权限与数据范围校验。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以至少2个集团、2个商城、3类角色完成物流轨迹正向、越权、异常和审计验证；关键结果可追溯且数据不串租户。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拆包裹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系统必须支持拆包裹，并在平台/集团/商城/员工四级上下文中执行权限与数据范围校验。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以至少2个集团、2个商城、3类角色完成拆包裹正向、越权、异常和审计验证；关键结果可追溯且数据不串租户。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部分发货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系统必须支持部分发货，并在平台/集团/商城/员工四级上下文中执行权限与数据范围校验。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以至少2个集团、2个商城、3类角色完成部分发货正向、越权、异常和审计验证；关键结果可追溯且数据不串租户。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签收状态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系统必须支持签收状态，并在平台/集团/商城/员工四级上下文中执行权限与数据范围校验。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以至少2个集团、2个商城、3类角色完成签收状态正向、越权、异常和审计验证；关键结果可追溯且数据不串租户。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配送时效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系统必须支持配送时效，并在平台/集团/商城/员工四级上下文中执行权限与数据范围校验。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以至少2个集团、2个商城、3类角色完成配送时效正向、越权、异常和审计验证；关键结果可追溯且数据不串租户。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偏远地区限制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系统必须支持偏远地区限制，并在平台/集团/商城/员工四级上下文中执行权限与数据范围校验。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以至少2个集团、2个商城、3类角色完成偏远地区限制正向、越权、异常和审计验证；关键结果可追溯且数据不串租户。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缺货替代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系统必须支持缺货替代，并在平台/集团/商城/员工四级上下文中执行权限与数据范围校验。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以至少2个集团、2个商城、3类角色完成缺货替代正向、越权、异常和审计验证；关键结果可追溯且数据不串租户。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异常件处理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系统必须支持异常件处理，并在平台/集团/商城/员工四级上下文中执行权限与数据范围校验。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以至少2个集团、2个商城、3类角色完成异常件处理正向、越权、异常和审计验证；关键结果可追溯且数据不串租户。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FUL-012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物流订阅回调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系统必须支持物流订阅回调，并在平台/集团/商城/员工四级上下文中执行权限与数据范围校验。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以至少2个集团、2个商城、3类角色完成物流订阅回调正向、越权、异常和审计验证；关键结果可追溯且数据不串租户。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SUP｜供应商与分销商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供应商准入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系统必须支持供应商准入，并在平台/集团/商城/员工四级上下文中执行权限与数据范围校验。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以至少2个集团、2个商城、3类角色完成供应商准入正向、越权、异常和审计验证；关键结果可追溯且数据不串租户。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资质审核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系统必须支持资质审核，并在平台/集团/商城/员工四级上下文中执行权限与数据范围校验。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以至少2个集团、2个商城、3类角色完成资质审核正向、越权、异常和审计验证；关键结果可追溯且数据不串租户。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供应商合同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系统必须支持供应商合同，并在平台/集团/商城/员工四级上下文中执行权限与数据范围校验。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以至少2个集团、2个商城、3类角色完成供应商合同正向、越权、异常和审计验证；关键结果可追溯且数据不串租户。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分销商distributorId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系统必须支持分销商distributorId，并在平台/集团/商城/员工四级上下文中执行权限与数据范围校验。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以至少2个集团、2个商城、3类角色完成分销商distributorId正向、越权、异常和审计验证；关键结果可追溯且数据不串租户。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商品归属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系统必须支持商品归属，并在平台/集团/商城/员工四级上下文中执行权限与数据范围校验。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以至少2个集团、2个商城、3类角色完成商品归属正向、越权、异常和审计验证；关键结果可追溯且数据不串租户。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供货价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系统必须支持供货价，并在平台/集团/商城/员工四级上下文中执行权限与数据范围校验。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以至少2个集团、2个商城、3类角色完成供货价正向、越权、异常和审计验证；关键结果可追溯且数据不串租户。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结算周期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系统必须支持结算周期，并在平台/集团/商城/员工四级上下文中执行权限与数据范围校验。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以至少2个集团、2个商城、3类角色完成结算周期正向、越权、异常和审计验证；关键结果可追溯且数据不串租户。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服务区域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系统必须支持服务区域，并在平台/集团/商城/员工四级上下文中执行权限与数据范围校验。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以至少2个集团、2个商城、3类角色完成服务区域正向、越权、异常和审计验证；关键结果可追溯且数据不串租户。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供应商评分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系统必须支持供应商评分，并在平台/集团/商城/员工四级上下文中执行权限与数据范围校验。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以至少2个集团、2个商城、3类角色完成供应商评分正向、越权、异常和审计验证；关键结果可追溯且数据不串租户。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供应商停用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系统必须支持供应商停用，并在平台/集团/商城/员工四级上下文中执行权限与数据范围校验。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以至少2个集团、2个商城、3类角色完成供应商停用正向、越权、异常和审计验证；关键结果可追溯且数据不串租户。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接口密钥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系统必须支持接口密钥，并在平台/集团/商城/员工四级上下文中执行权限与数据范围校验。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以至少2个集团、2个商城、3类角色完成接口密钥正向、越权、异常和审计验证；关键结果可追溯且数据不串租户。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SUP-012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供应商数据隔离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系统必须支持供应商数据隔离，并在平台/集团/商城/员工四级上下文中执行权限与数据范围校验。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以至少2个集团、2个商城、3类角色完成供应商数据隔离正向、越权、异常和审计验证；关键结果可追溯且数据不串租户。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AFS｜售后、退款与投诉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仅退款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系统必须支持仅退款，并在平台/集团/商城/员工四级上下文中执行权限与数据范围校验。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以至少2个集团、2个商城、3类角色完成仅退款正向、越权、异常和审计验证；关键结果可追溯且数据不串租户。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退货退款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系统必须支持退货退款，并在平台/集团/商城/员工四级上下文中执行权限与数据范围校验。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以至少2个集团、2个商城、3类角色完成退货退款正向、越权、异常和审计验证；关键结果可追溯且数据不串租户。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换货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系统必须支持换货，并在平台/集团/商城/员工四级上下文中执行权限与数据范围校验。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以至少2个集团、2个商城、3类角色完成换货正向、越权、异常和审计验证；关键结果可追溯且数据不串租户。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售后原因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系统必须支持售后原因，并在平台/集团/商城/员工四级上下文中执行权限与数据范围校验。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以至少2个集团、2个商城、3类角色完成售后原因正向、越权、异常和审计验证；关键结果可追溯且数据不串租户。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凭证上传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系统必须支持凭证上传，并在平台/集团/商城/员工四级上下文中执行权限与数据范围校验。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以至少2个集团、2个商城、3类角色完成凭证上传正向、越权、异常和审计验证；关键结果可追溯且数据不串租户。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审核流程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系统必须支持审核流程，并在平台/集团/商城/员工四级上下文中执行权限与数据范围校验。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以至少2个集团、2个商城、3类角色完成审核流程正向、越权、异常和审计验证；关键结果可追溯且数据不串租户。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退货地址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系统必须支持退货地址，并在平台/集团/商城/员工四级上下文中执行权限与数据范围校验。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以至少2个集团、2个商城、3类角色完成退货地址正向、越权、异常和审计验证；关键结果可追溯且数据不串租户。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退款计算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系统必须支持退款计算，并在平台/集团/商城/员工四级上下文中执行权限与数据范围校验。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以至少2个集团、2个商城、3类角色完成退款计算正向、越权、异常和审计验证；关键结果可追溯且数据不串租户。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福利账户原路退回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系统必须支持福利账户原路退回，并在平台/集团/商城/员工四级上下文中执行权限与数据范围校验。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以至少2个集团、2个商城、3类角色完成福利账户原路退回正向、越权、异常和审计验证；关键结果可追溯且数据不串租户。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微信原路退款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系统必须支持微信原路退款，并在平台/集团/商城/员工四级上下文中执行权限与数据范围校验。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以至少2个集团、2个商城、3类角色完成微信原路退款正向、越权、异常和审计验证；关键结果可追溯且数据不串租户。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售后时效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系统必须支持售后时效，并在平台/集团/商城/员工四级上下文中执行权限与数据范围校验。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以至少2个集团、2个商城、3类角色完成售后时效正向、越权、异常和审计验证；关键结果可追溯且数据不串租户。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AFS-012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争议仲裁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系统必须支持争议仲裁，并在平台/集团/商城/员工四级上下文中执行权限与数据范围校验。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以至少2个集团、2个商城、3类角色完成争议仲裁正向、越权、异常和审计验证；关键结果可追溯且数据不串租户。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INV｜发票与税务资料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个人发票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系统必须支持个人发票，并在平台/集团/商城/员工四级上下文中执行权限与数据范围校验。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以至少2个集团、2个商城、3类角色完成个人发票正向、越权、异常和审计验证；关键结果可追溯且数据不串租户。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企业发票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系统必须支持企业发票，并在平台/集团/商城/员工四级上下文中执行权限与数据范围校验。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以至少2个集团、2个商城、3类角色完成企业发票正向、越权、异常和审计验证；关键结果可追溯且数据不串租户。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税号校验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系统必须支持税号校验，并在平台/集团/商城/员工四级上下文中执行权限与数据范围校验。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以至少2个集团、2个商城、3类角色完成税号校验正向、越权、异常和审计验证；关键结果可追溯且数据不串租户。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电子发票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系统必须支持电子发票，并在平台/集团/商城/员工四级上下文中执行权限与数据范围校验。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以至少2个集团、2个商城、3类角色完成电子发票正向、越权、异常和审计验证；关键结果可追溯且数据不串租户。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开票状态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系统必须支持开票状态，并在平台/集团/商城/员工四级上下文中执行权限与数据范围校验。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以至少2个集团、2个商城、3类角色完成开票状态正向、越权、异常和审计验证；关键结果可追溯且数据不串租户。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红冲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系统必须支持红冲，并在平台/集团/商城/员工四级上下文中执行权限与数据范围校验。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以至少2个集团、2个商城、3类角色完成红冲正向、越权、异常和审计验证；关键结果可追溯且数据不串租户。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发票下载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系统必须支持发票下载，并在平台/集团/商城/员工四级上下文中执行权限与数据范围校验。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以至少2个集团、2个商城、3类角色完成发票下载正向、越权、异常和审计验证；关键结果可追溯且数据不串租户。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发票邮件发送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系统必须支持发票邮件发送，并在平台/集团/商城/员工四级上下文中执行权限与数据范围校验。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以至少2个集团、2个商城、3类角色完成发票邮件发送正向、越权、异常和审计验证；关键结果可追溯且数据不串租户。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拆单开票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系统必须支持拆单开票，并在平台/集团/商城/员工四级上下文中执行权限与数据范围校验。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以至少2个集团、2个商城、3类角色完成拆单开票正向、越权、异常和审计验证；关键结果可追溯且数据不串租户。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服务类目税率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系统必须支持服务类目税率，并在平台/集团/商城/员工四级上下文中执行权限与数据范围校验。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以至少2个集团、2个商城、3类角色完成服务类目税率正向、越权、异常和审计验证；关键结果可追溯且数据不串租户。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发票抬头库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系统必须支持发票抬头库，并在平台/集团/商城/员工四级上下文中执行权限与数据范围校验。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以至少2个集团、2个商城、3类角色完成发票抬头库正向、越权、异常和审计验证；关键结果可追溯且数据不串租户。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INV-012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开票审计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系统必须支持开票审计，并在平台/集团/商城/员工四级上下文中执行权限与数据范围校验。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以至少2个集团、2个商城、3类角色完成开票审计正向、越权、异常和审计验证；关键结果可追溯且数据不串租户。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CS｜客户服务制度与工单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在线客服入口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系统必须支持在线客服入口，并在平台/集团/商城/员工四级上下文中执行权限与数据范围校验。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以至少2个集团、2个商城、3类角色完成在线客服入口正向、越权、异常和审计验证；关键结果可追溯且数据不串租户。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客服电话管理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系统必须支持客服电话管理，并在平台/集团/商城/员工四级上下文中执行权限与数据范围校验。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以至少2个集团、2个商城、3类角色完成客服电话管理正向、越权、异常和审计验证；关键结果可追溯且数据不串租户。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服务时间公示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系统必须支持服务时间公示，并在平台/集团/商城/员工四级上下文中执行权限与数据范围校验。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以至少2个集团、2个商城、3类角色完成服务时间公示正向、越权、异常和审计验证；关键结果可追溯且数据不串租户。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机器人首问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系统必须支持机器人首问，并在平台/集团/商城/员工四级上下文中执行权限与数据范围校验。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以至少2个集团、2个商城、3类角色完成机器人首问正向、越权、异常和审计验证；关键结果可追溯且数据不串租户。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人工转接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系统必须支持人工转接，并在平台/集团/商城/员工四级上下文中执行权限与数据范围校验。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以至少2个集团、2个商城、3类角色完成人工转接正向、越权、异常和审计验证；关键结果可追溯且数据不串租户。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工单分类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系统必须支持工单分类，并在平台/集团/商城/员工四级上下文中执行权限与数据范围校验。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以至少2个集团、2个商城、3类角色完成工单分类正向、越权、异常和审计验证；关键结果可追溯且数据不串租户。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工单优先级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系统必须支持工单优先级，并在平台/集团/商城/员工四级上下文中执行权限与数据范围校验。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以至少2个集团、2个商城、3类角色完成工单优先级正向、越权、异常和审计验证；关键结果可追溯且数据不串租户。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首次响应SLA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系统必须支持首次响应SLA，并在平台/集团/商城/员工四级上下文中执行权限与数据范围校验。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以至少2个集团、2个商城、3类角色完成首次响应SLA正向、越权、异常和审计验证；关键结果可追溯且数据不串租户。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解决时限SLA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系统必须支持解决时限SLA，并在平台/集团/商城/员工四级上下文中执行权限与数据范围校验。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以至少2个集团、2个商城、3类角色完成解决时限SLA正向、越权、异常和审计验证；关键结果可追溯且数据不串租户。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升级机制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系统必须支持升级机制，并在平台/集团/商城/员工四级上下文中执行权限与数据范围校验。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以至少2个集团、2个商城、3类角色完成升级机制正向、越权、异常和审计验证；关键结果可追溯且数据不串租户。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满意度评价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系统必须支持满意度评价，并在平台/集团/商城/员工四级上下文中执行权限与数据范围校验。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以至少2个集团、2个商城、3类角色完成满意度评价正向、越权、异常和审计验证；关键结果可追溯且数据不串租户。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CS-012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客服质检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系统必须支持客服质检，并在平台/集团/商城/员工四级上下文中执行权限与数据范围校验。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以至少2个集团、2个商城、3类角色完成客服质检正向、越权、异常和审计验证；关键结果可追溯且数据不串租户。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OPS｜运营与内容管理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首页装修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系统必须支持首页装修，并在平台/集团/商城/员工四级上下文中执行权限与数据范围校验。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以至少2个集团、2个商城、3类角色完成首页装修正向、越权、异常和审计验证；关键结果可追溯且数据不串租户。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活动页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系统必须支持活动页，并在平台/集团/商城/员工四级上下文中执行权限与数据范围校验。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以至少2个集团、2个商城、3类角色完成活动页正向、越权、异常和审计验证；关键结果可追溯且数据不串租户。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Banner管理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系统必须支持Banner管理，并在平台/集团/商城/员工四级上下文中执行权限与数据范围校验。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以至少2个集团、2个商城、3类角色完成Banner管理正向、越权、异常和审计验证；关键结果可追溯且数据不串租户。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公告管理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系统必须支持公告管理，并在平台/集团/商城/员工四级上下文中执行权限与数据范围校验。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以至少2个集团、2个商城、3类角色完成公告管理正向、越权、异常和审计验证；关键结果可追溯且数据不串租户。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热词管理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系统必须支持热词管理，并在平台/集团/商城/员工四级上下文中执行权限与数据范围校验。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以至少2个集团、2个商城、3类角色完成热词管理正向、越权、异常和审计验证；关键结果可追溯且数据不串租户。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推荐位管理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系统必须支持推荐位管理，并在平台/集团/商城/员工四级上下文中执行权限与数据范围校验。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以至少2个集团、2个商城、3类角色完成推荐位管理正向、越权、异常和审计验证；关键结果可追溯且数据不串租户。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专题页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系统必须支持专题页，并在平台/集团/商城/员工四级上下文中执行权限与数据范围校验。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以至少2个集团、2个商城、3类角色完成专题页正向、越权、异常和审计验证；关键结果可追溯且数据不串租户。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内容审核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系统必须支持内容审核，并在平台/集团/商城/员工四级上下文中执行权限与数据范围校验。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以至少2个集团、2个商城、3类角色完成内容审核正向、越权、异常和审计验证；关键结果可追溯且数据不串租户。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定时发布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系统必须支持定时发布，并在平台/集团/商城/员工四级上下文中执行权限与数据范围校验。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以至少2个集团、2个商城、3类角色完成定时发布正向、越权、异常和审计验证；关键结果可追溯且数据不串租户。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灰度发布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系统必须支持灰度发布，并在平台/集团/商城/员工四级上下文中执行权限与数据范围校验。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以至少2个集团、2个商城、3类角色完成灰度发布正向、越权、异常和审计验证；关键结果可追溯且数据不串租户。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运营日历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系统必须支持运营日历，并在平台/集团/商城/员工四级上下文中执行权限与数据范围校验。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以至少2个集团、2个商城、3类角色完成运营日历正向、越权、异常和审计验证；关键结果可追溯且数据不串租户。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OPS-012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活动复盘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系统必须支持活动复盘，并在平台/集团/商城/员工四级上下文中执行权限与数据范围校验。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以至少2个集团、2个商城、3类角色完成活动复盘正向、越权、异常和审计验证；关键结果可追溯且数据不串租户。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ADM｜运营管理后台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平台管理端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系统必须支持平台管理端，并在平台/集团/商城/员工四级上下文中执行权限与数据范围校验。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以至少2个集团、2个商城、3类角色完成平台管理端正向、越权、异常和审计验证；关键结果可追溯且数据不串租户。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集团管理端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系统必须支持集团管理端，并在平台/集团/商城/员工四级上下文中执行权限与数据范围校验。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以至少2个集团、2个商城、3类角色完成集团管理端正向、越权、异常和审计验证；关键结果可追溯且数据不串租户。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商城管理端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系统必须支持商城管理端，并在平台/集团/商城/员工四级上下文中执行权限与数据范围校验。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以至少2个集团、2个商城、3类角色完成商城管理端正向、越权、异常和审计验证；关键结果可追溯且数据不串租户。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供应商工作台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系统必须支持供应商工作台，并在平台/集团/商城/员工四级上下文中执行权限与数据范围校验。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以至少2个集团、2个商城、3类角色完成供应商工作台正向、越权、异常和审计验证；关键结果可追溯且数据不串租户。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员工管理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系统必须支持员工管理，并在平台/集团/商城/员工四级上下文中执行权限与数据范围校验。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以至少2个集团、2个商城、3类角色完成员工管理正向、越权、异常和审计验证；关键结果可追溯且数据不串租户。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商品审核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系统必须支持商品审核，并在平台/集团/商城/员工四级上下文中执行权限与数据范围校验。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以至少2个集团、2个商城、3类角色完成商品审核正向、越权、异常和审计验证；关键结果可追溯且数据不串租户。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售后管理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系统必须支持售后管理，并在平台/集团/商城/员工四级上下文中执行权限与数据范围校验。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以至少2个集团、2个商城、3类角色完成售后管理正向、越权、异常和审计验证；关键结果可追溯且数据不串租户。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账户管理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系统必须支持账户管理，并在平台/集团/商城/员工四级上下文中执行权限与数据范围校验。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以至少2个集团、2个商城、3类角色完成账户管理正向、越权、异常和审计验证；关键结果可追溯且数据不串租户。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权限管理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系统必须支持权限管理，并在平台/集团/商城/员工四级上下文中执行权限与数据范围校验。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以至少2个集团、2个商城、3类角色完成权限管理正向、越权、异常和审计验证；关键结果可追溯且数据不串租户。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批量任务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系统必须支持批量任务，并在平台/集团/商城/员工四级上下文中执行权限与数据范围校验。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以至少2个集团、2个商城、3类角色完成批量任务正向、越权、异常和审计验证；关键结果可追溯且数据不串租户。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ADM-012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导入导出中心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系统必须支持导入导出中心，并在平台/集团/商城/员工四级上下文中执行权限与数据范围校验。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以至少2个集团、2个商城、3类角色完成导入导出中心正向、越权、异常和审计验证；关键结果可追溯且数据不串租户。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DAT｜数据、报表与BI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GMV报表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系统必须支持GMV报表，并在平台/集团/商城/员工四级上下文中执行权限与数据范围校验。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以至少2个集团、2个商城、3类角色完成GMV报表正向、越权、异常和审计验证；关键结果可追溯且数据不串租户。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订单报表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系统必须支持订单报表，并在平台/集团/商城/员工四级上下文中执行权限与数据范围校验。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以至少2个集团、2个商城、3类角色完成订单报表正向、越权、异常和审计验证；关键结果可追溯且数据不串租户。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用户活跃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系统必须支持用户活跃，并在平台/集团/商城/员工四级上下文中执行权限与数据范围校验。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以至少2个集团、2个商城、3类角色完成用户活跃正向、越权、异常和审计验证；关键结果可追溯且数据不串租户。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商品转化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系统必须支持商品转化，并在平台/集团/商城/员工四级上下文中执行权限与数据范围校验。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以至少2个集团、2个商城、3类角色完成商品转化正向、越权、异常和审计验证；关键结果可追溯且数据不串租户。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搜索分析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系统必须支持搜索分析，并在平台/集团/商城/员工四级上下文中执行权限与数据范围校验。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以至少2个集团、2个商城、3类角色完成搜索分析正向、越权、异常和审计验证；关键结果可追溯且数据不串租户。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福利预算消耗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系统必须支持福利预算消耗，并在平台/集团/商城/员工四级上下文中执行权限与数据范围校验。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以至少2个集团、2个商城、3类角色完成福利预算消耗正向、越权、异常和审计验证；关键结果可追溯且数据不串租户。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账户余额汇总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系统必须支持账户余额汇总，并在平台/集团/商城/员工四级上下文中执行权限与数据范围校验。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以至少2个集团、2个商城、3类角色完成账户余额汇总正向、越权、异常和审计验证；关键结果可追溯且数据不串租户。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供应商履约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系统必须支持供应商履约，并在平台/集团/商城/员工四级上下文中执行权限与数据范围校验。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以至少2个集团、2个商城、3类角色完成供应商履约正向、越权、异常和审计验证；关键结果可追溯且数据不串租户。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售后率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系统必须支持售后率，并在平台/集团/商城/员工四级上下文中执行权限与数据范围校验。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以至少2个集团、2个商城、3类角色完成售后率正向、越权、异常和审计验证；关键结果可追溯且数据不串租户。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客服SLA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系统必须支持客服SLA，并在平台/集团/商城/员工四级上下文中执行权限与数据范围校验。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以至少2个集团、2个商城、3类角色完成客服SLA正向、越权、异常和审计验证；关键结果可追溯且数据不串租户。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数据导出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系统必须支持数据导出，并在平台/集团/商城/员工四级上下文中执行权限与数据范围校验。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以至少2个集团、2个商城、3类角色完成数据导出正向、越权、异常和审计验证；关键结果可追溯且数据不串租户。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DAT-012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指标口径字典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系统必须支持指标口径字典，并在平台/集团/商城/员工四级上下文中执行权限与数据范围校验。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以至少2个集团、2个商城、3类角色完成指标口径字典正向、越权、异常和审计验证；关键结果可追溯且数据不串租户。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SEC｜安全与隐私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传输加密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系统必须支持传输加密，并在平台/集团/商城/员工四级上下文中执行权限与数据范围校验。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以至少2个集团、2个商城、3类角色完成传输加密正向、越权、异常和审计验证；关键结果可追溯且数据不串租户。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敏感字段加密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系统必须支持敏感字段加密，并在平台/集团/商城/员工四级上下文中执行权限与数据范围校验。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以至少2个集团、2个商城、3类角色完成敏感字段加密正向、越权、异常和审计验证；关键结果可追溯且数据不串租户。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密码哈希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系统必须支持密码哈希，并在平台/集团/商城/员工四级上下文中执行权限与数据范围校验。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以至少2个集团、2个商城、3类角色完成密码哈希正向、越权、异常和审计验证；关键结果可追溯且数据不串租户。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密钥托管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系统必须支持密钥托管，并在平台/集团/商城/员工四级上下文中执行权限与数据范围校验。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以至少2个集团、2个商城、3类角色完成密钥托管正向、越权、异常和审计验证；关键结果可追溯且数据不串租户。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最小权限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系统必须支持最小权限，并在平台/集团/商城/员工四级上下文中执行权限与数据范围校验。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以至少2个集团、2个商城、3类角色完成最小权限正向、越权、异常和审计验证；关键结果可追溯且数据不串租户。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接口签名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系统必须支持接口签名，并在平台/集团/商城/员工四级上下文中执行权限与数据范围校验。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以至少2个集团、2个商城、3类角色完成接口签名正向、越权、异常和审计验证；关键结果可追溯且数据不串租户。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重放攻击防护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系统必须支持重放攻击防护，并在平台/集团/商城/员工四级上下文中执行权限与数据范围校验。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以至少2个集团、2个商城、3类角色完成重放攻击防护正向、越权、异常和审计验证；关键结果可追溯且数据不串租户。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限流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系统必须支持限流，并在平台/集团/商城/员工四级上下文中执行权限与数据范围校验。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以至少2个集团、2个商城、3类角色完成限流正向、越权、异常和审计验证；关键结果可追溯且数据不串租户。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WAF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系统必须支持WAF，并在平台/集团/商城/员工四级上下文中执行权限与数据范围校验。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以至少2个集团、2个商城、3类角色完成WAF正向、越权、异常和审计验证；关键结果可追溯且数据不串租户。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恶意爬虫防护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系统必须支持恶意爬虫防护，并在平台/集团/商城/员工四级上下文中执行权限与数据范围校验。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以至少2个集团、2个商城、3类角色完成恶意爬虫防护正向、越权、异常和审计验证；关键结果可追溯且数据不串租户。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隐私授权记录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系统必须支持隐私授权记录，并在平台/集团/商城/员工四级上下文中执行权限与数据范围校验。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以至少2个集团、2个商城、3类角色完成隐私授权记录正向、越权、异常和审计验证；关键结果可追溯且数据不串租户。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SEC-012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个人信息删除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系统必须支持个人信息删除，并在平台/集团/商城/员工四级上下文中执行权限与数据范围校验。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以至少2个集团、2个商城、3类角色完成个人信息删除正向、越权、异常和审计验证；关键结果可追溯且数据不串租户。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CMP｜合规与审计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隐私政策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系统必须支持隐私政策，并在平台/集团/商城/员工四级上下文中执行权限与数据范围校验。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以至少2个集团、2个商城、3类角色完成隐私政策正向、越权、异常和审计验证；关键结果可追溯且数据不串租户。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用户协议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系统必须支持用户协议，并在平台/集团/商城/员工四级上下文中执行权限与数据范围校验。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以至少2个集团、2个商城、3类角色完成用户协议正向、越权、异常和审计验证；关键结果可追溯且数据不串租户。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第三方SDK清单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系统必须支持第三方SDK清单，并在平台/集团/商城/员工四级上下文中执行权限与数据范围校验。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以至少2个集团、2个商城、3类角色完成第三方SDK清单正向、越权、异常和审计验证；关键结果可追溯且数据不串租户。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个人信息处理清单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系统必须支持个人信息处理清单，并在平台/集团/商城/员工四级上下文中执行权限与数据范围校验。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以至少2个集团、2个商城、3类角色完成个人信息处理清单正向、越权、异常和审计验证；关键结果可追溯且数据不串租户。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未成年人规则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系统必须支持未成年人规则，并在平台/集团/商城/员工四级上下文中执行权限与数据范围校验。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以至少2个集团、2个商城、3类角色完成未成年人规则正向、越权、异常和审计验证；关键结果可追溯且数据不串租户。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数据出境评估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系统必须支持数据出境评估，并在平台/集团/商城/员工四级上下文中执行权限与数据范围校验。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以至少2个集团、2个商城、3类角色完成数据出境评估正向、越权、异常和审计验证；关键结果可追溯且数据不串租户。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日志留存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系统必须支持日志留存，并在平台/集团/商城/员工四级上下文中执行权限与数据范围校验。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以至少2个集团、2个商城、3类角色完成日志留存正向、越权、异常和审计验证；关键结果可追溯且数据不串租户。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管理员审计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系统必须支持管理员审计，并在平台/集团/商城/员工四级上下文中执行权限与数据范围校验。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以至少2个集团、2个商城、3类角色完成管理员审计正向、越权、异常和审计验证；关键结果可追溯且数据不串租户。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资金操作审计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系统必须支持资金操作审计，并在平台/集团/商城/员工四级上下文中执行权限与数据范围校验。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以至少2个集团、2个商城、3类角色完成资金操作审计正向、越权、异常和审计验证；关键结果可追溯且数据不串租户。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供应商资质留档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系统必须支持供应商资质留档，并在平台/集团/商城/员工四级上下文中执行权限与数据范围校验。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以至少2个集团、2个商城、3类角色完成供应商资质留档正向、越权、异常和审计验证；关键结果可追溯且数据不串租户。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等保评估准备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系统必须支持等保评估准备，并在平台/集团/商城/员工四级上下文中执行权限与数据范围校验。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以至少2个集团、2个商城、3类角色完成等保评估准备正向、越权、异常和审计验证；关键结果可追溯且数据不串租户。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CMP-012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合规事件响应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系统必须支持合规事件响应，并在平台/集团/商城/员工四级上下文中执行权限与数据范围校验。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以至少2个集团、2个商城、3类角色完成合规事件响应正向、越权、异常和审计验证；关键结果可追溯且数据不串租户。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API｜接口与系统集成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统一API网关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系统必须支持统一API网关，并在平台/集团/商城/员工四级上下文中执行权限与数据范围校验。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以至少2个集团、2个商城、3类角色完成统一API网关正向、越权、异常和审计验证；关键结果可追溯且数据不串租户。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REST规范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系统必须支持REST规范，并在平台/集团/商城/员工四级上下文中执行权限与数据范围校验。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以至少2个集团、2个商城、3类角色完成REST规范正向、越权、异常和审计验证；关键结果可追溯且数据不串租户。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OpenAPI文档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系统必须支持OpenAPI文档，并在平台/集团/商城/员工四级上下文中执行权限与数据范围校验。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以至少2个集团、2个商城、3类角色完成OpenAPI文档正向、越权、异常和审计验证；关键结果可追溯且数据不串租户。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企业HR同步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系统必须支持企业HR同步，并在平台/集团/商城/员工四级上下文中执行权限与数据范围校验。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以至少2个集团、2个商城、3类角色完成企业HR同步正向、越权、异常和审计验证；关键结果可追溯且数据不串租户。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统一身份认证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系统必须支持统一身份认证，并在平台/集团/商城/员工四级上下文中执行权限与数据范围校验。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以至少2个集团、2个商城、3类角色完成统一身份认证正向、越权、异常和审计验证；关键结果可追溯且数据不串租户。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供应商商品接口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系统必须支持供应商商品接口，并在平台/集团/商城/员工四级上下文中执行权限与数据范围校验。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以至少2个集团、2个商城、3类角色完成供应商商品接口正向、越权、异常和审计验证；关键结果可追溯且数据不串租户。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库存接口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系统必须支持库存接口，并在平台/集团/商城/员工四级上下文中执行权限与数据范围校验。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以至少2个集团、2个商城、3类角色完成库存接口正向、越权、异常和审计验证；关键结果可追溯且数据不串租户。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价格接口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系统必须支持价格接口，并在平台/集团/商城/员工四级上下文中执行权限与数据范围校验。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以至少2个集团、2个商城、3类角色完成价格接口正向、越权、异常和审计验证；关键结果可追溯且数据不串租户。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订单推送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系统必须支持订单推送，并在平台/集团/商城/员工四级上下文中执行权限与数据范围校验。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以至少2个集团、2个商城、3类角色完成订单推送正向、越权、异常和审计验证；关键结果可追溯且数据不串租户。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物流回调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系统必须支持物流回调，并在平台/集团/商城/员工四级上下文中执行权限与数据范围校验。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以至少2个集团、2个商城、3类角色完成物流回调正向、越权、异常和审计验证；关键结果可追溯且数据不串租户。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卡券发码接口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系统必须支持卡券发码接口，并在平台/集团/商城/员工四级上下文中执行权限与数据范围校验。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以至少2个集团、2个商城、3类角色完成卡券发码接口正向、越权、异常和审计验证；关键结果可追溯且数据不串租户。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回调重试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系统必须支持回调重试，并在平台/集团/商城/员工四级上下文中执行权限与数据范围校验。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以至少2个集团、2个商城、3类角色完成回调重试正向、越权、异常和审计验证；关键结果可追溯且数据不串租户。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DEV｜基础设施与DevOps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开发测试生产隔离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系统必须支持开发测试生产隔离，并在平台/集团/商城/员工四级上下文中执行权限与数据范围校验。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以至少2个集团、2个商城、3类角色完成开发测试生产隔离正向、越权、异常和审计验证；关键结果可追溯且数据不串租户。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基础设施即代码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系统必须支持基础设施即代码，并在平台/集团/商城/员工四级上下文中执行权限与数据范围校验。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以至少2个集团、2个商城、3类角色完成基础设施即代码正向、越权、异常和审计验证；关键结果可追溯且数据不串租户。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自动构建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系统必须支持自动构建，并在平台/集团/商城/员工四级上下文中执行权限与数据范围校验。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以至少2个集团、2个商城、3类角色完成自动构建正向、越权、异常和审计验证；关键结果可追溯且数据不串租户。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自动测试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系统必须支持自动测试，并在平台/集团/商城/员工四级上下文中执行权限与数据范围校验。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以至少2个集团、2个商城、3类角色完成自动测试正向、越权、异常和审计验证；关键结果可追溯且数据不串租户。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自动部署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系统必须支持自动部署，并在平台/集团/商城/员工四级上下文中执行权限与数据范围校验。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以至少2个集团、2个商城、3类角色完成自动部署正向、越权、异常和审计验证；关键结果可追溯且数据不串租户。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版本回滚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系统必须支持版本回滚，并在平台/集团/商城/员工四级上下文中执行权限与数据范围校验。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以至少2个集团、2个商城、3类角色完成版本回滚正向、越权、异常和审计验证；关键结果可追溯且数据不串租户。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配置中心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系统必须支持配置中心，并在平台/集团/商城/员工四级上下文中执行权限与数据范围校验。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以至少2个集团、2个商城、3类角色完成配置中心正向、越权、异常和审计验证；关键结果可追溯且数据不串租户。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密钥管理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系统必须支持密钥管理，并在平台/集团/商城/员工四级上下文中执行权限与数据范围校验。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以至少2个集团、2个商城、3类角色完成密钥管理正向、越权、异常和审计验证；关键结果可追溯且数据不串租户。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数据库迁移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系统必须支持数据库迁移，并在平台/集团/商城/员工四级上下文中执行权限与数据范围校验。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以至少2个集团、2个商城、3类角色完成数据库迁移正向、越权、异常和审计验证；关键结果可追溯且数据不串租户。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对象存储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系统必须支持对象存储，并在平台/集团/商城/员工四级上下文中执行权限与数据范围校验。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以至少2个集团、2个商城、3类角色完成对象存储正向、越权、异常和审计验证；关键结果可追溯且数据不串租户。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CDN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系统必须支持CDN，并在平台/集团/商城/员工四级上下文中执行权限与数据范围校验。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以至少2个集团、2个商城、3类角色完成CDN正向、越权、异常和审计验证；关键结果可追溯且数据不串租户。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DEV-012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成本预算告警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系统必须支持成本预算告警，并在平台/集团/商城/员工四级上下文中执行权限与数据范围校验。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以至少2个集团、2个商城、3类角色完成成本预算告警正向、越权、异常和审计验证；关键结果可追溯且数据不串租户。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TST｜测试与质量保障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单元测试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系统必须支持单元测试，并在平台/集团/商城/员工四级上下文中执行权限与数据范围校验。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以至少2个集团、2个商城、3类角色完成单元测试正向、越权、异常和审计验证；关键结果可追溯且数据不串租户。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组件测试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系统必须支持组件测试，并在平台/集团/商城/员工四级上下文中执行权限与数据范围校验。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以至少2个集团、2个商城、3类角色完成组件测试正向、越权、异常和审计验证；关键结果可追溯且数据不串租户。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API测试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系统必须支持API测试，并在平台/集团/商城/员工四级上下文中执行权限与数据范围校验。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以至少2个集团、2个商城、3类角色完成API测试正向、越权、异常和审计验证；关键结果可追溯且数据不串租户。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端到端测试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系统必须支持端到端测试，并在平台/集团/商城/员工四级上下文中执行权限与数据范围校验。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以至少2个集团、2个商城、3类角色完成端到端测试正向、越权、异常和审计验证；关键结果可追溯且数据不串租户。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支付回调测试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系统必须支持支付回调测试，并在平台/集团/商城/员工四级上下文中执行权限与数据范围校验。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以至少2个集团、2个商城、3类角色完成支付回调测试正向、越权、异常和审计验证；关键结果可追溯且数据不串租户。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并发测试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系统必须支持并发测试，并在平台/集团/商城/员工四级上下文中执行权限与数据范围校验。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以至少2个集团、2个商城、3类角色完成并发测试正向、越权、异常和审计验证；关键结果可追溯且数据不串租户。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安全测试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系统必须支持安全测试，并在平台/集团/商城/员工四级上下文中执行权限与数据范围校验。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以至少2个集团、2个商城、3类角色完成安全测试正向、越权、异常和审计验证；关键结果可追溯且数据不串租户。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兼容性测试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系统必须支持兼容性测试，并在平台/集团/商城/员工四级上下文中执行权限与数据范围校验。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以至少2个集团、2个商城、3类角色完成兼容性测试正向、越权、异常和审计验证；关键结果可追溯且数据不串租户。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移动真机测试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系统必须支持移动真机测试，并在平台/集团/商城/员工四级上下文中执行权限与数据范围校验。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以至少2个集团、2个商城、3类角色完成移动真机测试正向、越权、异常和审计验证；关键结果可追溯且数据不串租户。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回归测试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系统必须支持回归测试，并在平台/集团/商城/员工四级上下文中执行权限与数据范围校验。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以至少2个集团、2个商城、3类角色完成回归测试正向、越权、异常和审计验证；关键结果可追溯且数据不串租户。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用户验收测试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系统必须支持用户验收测试，并在平台/集团/商城/员工四级上下文中执行权限与数据范围校验。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以至少2个集团、2个商城、3类角色完成用户验收测试正向、越权、异常和审计验证；关键结果可追溯且数据不串租户。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TST-012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缺陷分级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系统必须支持缺陷分级，并在平台/集团/商城/员工四级上下文中执行权限与数据范围校验。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以至少2个集团、2个商城、3类角色完成缺陷分级正向、越权、异常和审计验证；关键结果可追溯且数据不串租户。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OBS｜监控、运维与应急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可用性监控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系统必须支持可用性监控，并在平台/集团/商城/员工四级上下文中执行权限与数据范围校验。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以至少2个集团、2个商城、3类角色完成可用性监控正向、越权、异常和审计验证；关键结果可追溯且数据不串租户。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接口延迟监控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系统必须支持接口延迟监控，并在平台/集团/商城/员工四级上下文中执行权限与数据范围校验。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以至少2个集团、2个商城、3类角色完成接口延迟监控正向、越权、异常和审计验证；关键结果可追溯且数据不串租户。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错误率监控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系统必须支持错误率监控，并在平台/集团/商城/员工四级上下文中执行权限与数据范围校验。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以至少2个集团、2个商城、3类角色完成错误率监控正向、越权、异常和审计验证；关键结果可追溯且数据不串租户。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前端错误监控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系统必须支持前端错误监控，并在平台/集团/商城/员工四级上下文中执行权限与数据范围校验。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以至少2个集团、2个商城、3类角色完成前端错误监控正向、越权、异常和审计验证；关键结果可追溯且数据不串租户。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日志检索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系统必须支持日志检索，并在平台/集团/商城/员工四级上下文中执行权限与数据范围校验。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以至少2个集团、2个商城、3类角色完成日志检索正向、越权、异常和审计验证；关键结果可追溯且数据不串租户。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链路追踪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系统必须支持链路追踪，并在平台/集团/商城/员工四级上下文中执行权限与数据范围校验。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以至少2个集团、2个商城、3类角色完成链路追踪正向、越权、异常和审计验证；关键结果可追溯且数据不串租户。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告警分级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系统必须支持告警分级，并在平台/集团/商城/员工四级上下文中执行权限与数据范围校验。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以至少2个集团、2个商城、3类角色完成告警分级正向、越权、异常和审计验证；关键结果可追溯且数据不串租户。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值班制度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系统必须支持值班制度，并在平台/集团/商城/员工四级上下文中执行权限与数据范围校验。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以至少2个集团、2个商城、3类角色完成值班制度正向、越权、异常和审计验证；关键结果可追溯且数据不串租户。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故障通报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系统必须支持故障通报，并在平台/集团/商城/员工四级上下文中执行权限与数据范围校验。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以至少2个集团、2个商城、3类角色完成故障通报正向、越权、异常和审计验证；关键结果可追溯且数据不串租户。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根因分析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系统必须支持根因分析，并在平台/集团/商城/员工四级上下文中执行权限与数据范围校验。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以至少2个集团、2个商城、3类角色完成根因分析正向、越权、异常和审计验证；关键结果可追溯且数据不串租户。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容量评估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系统必须支持容量评估，并在平台/集团/商城/员工四级上下文中执行权限与数据范围校验。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以至少2个集团、2个商城、3类角色完成容量评估正向、越权、异常和审计验证；关键结果可追溯且数据不串租户。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OBS-012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运维月报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系统必须支持运维月报，并在平台/集团/商城/员工四级上下文中执行权限与数据范围校验。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以至少2个集团、2个商城、3类角色完成运维月报正向、越权、异常和审计验证；关键结果可追溯且数据不串租户。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PER｜性能、兼容与可访问性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首屏性能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系统必须支持首屏性能，并在平台/集团/商城/员工四级上下文中执行权限与数据范围校验。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以至少2个集团、2个商城、3类角色完成首屏性能正向、越权、异常和审计验证；关键结果可追溯且数据不串租户。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核心Web指标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系统必须支持核心Web指标，并在平台/集团/商城/员工四级上下文中执行权限与数据范围校验。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以至少2个集团、2个商城、3类角色完成核心Web指标正向、越权、异常和审计验证；关键结果可追溯且数据不串租户。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图片优化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系统必须支持图片优化，并在平台/集团/商城/员工四级上下文中执行权限与数据范围校验。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以至少2个集团、2个商城、3类角色完成图片优化正向、越权、异常和审计验证；关键结果可追溯且数据不串租户。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代码分包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系统必须支持代码分包，并在平台/集团/商城/员工四级上下文中执行权限与数据范围校验。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以至少2个集团、2个商城、3类角色完成代码分包正向、越权、异常和审计验证；关键结果可追溯且数据不串租户。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缓存策略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系统必须支持缓存策略，并在平台/集团/商城/员工四级上下文中执行权限与数据范围校验。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以至少2个集团、2个商城、3类角色完成缓存策略正向、越权、异常和审计验证；关键结果可追溯且数据不串租户。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弱网体验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系统必须支持弱网体验，并在平台/集团/商城/员工四级上下文中执行权限与数据范围校验。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以至少2个集团、2个商城、3类角色完成弱网体验正向、越权、异常和审计验证；关键结果可追溯且数据不串租户。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主流浏览器兼容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系统必须支持主流浏览器兼容，并在平台/集团/商城/员工四级上下文中执行权限与数据范围校验。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以至少2个集团、2个商城、3类角色完成主流浏览器兼容正向、越权、异常和审计验证；关键结果可追溯且数据不串租户。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响应式布局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系统必须支持响应式布局，并在平台/集团/商城/员工四级上下文中执行权限与数据范围校验。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以至少2个集团、2个商城、3类角色完成响应式布局正向、越权、异常和审计验证；关键结果可追溯且数据不串租户。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键盘可操作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系统必须支持键盘可操作，并在平台/集团/商城/员工四级上下文中执行权限与数据范围校验。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以至少2个集团、2个商城、3类角色完成键盘可操作正向、越权、异常和审计验证；关键结果可追溯且数据不串租户。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颜色对比度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系统必须支持颜色对比度，并在平台/集团/商城/员工四级上下文中执行权限与数据范围校验。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以至少2个集团、2个商城、3类角色完成颜色对比度正向、越权、异常和审计验证；关键结果可追溯且数据不串租户。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屏幕阅读器标签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系统必须支持屏幕阅读器标签，并在平台/集团/商城/员工四级上下文中执行权限与数据范围校验。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以至少2个集团、2个商城、3类角色完成屏幕阅读器标签正向、越权、异常和审计验证；关键结果可追溯且数据不串租户。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PER-012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大字体适配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系统必须支持大字体适配，并在平台/集团/商城/员工四级上下文中执行权限与数据范围校验。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以至少2个集团、2个商城、3类角色完成大字体适配正向、越权、异常和审计验证；关键结果可追溯且数据不串租户。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BCP｜备份、容灾与业务连续性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数据库自动备份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系统必须支持数据库自动备份，并在平台/集团/商城/员工四级上下文中执行权限与数据范围校验。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以至少2个集团、2个商城、3类角色完成数据库自动备份正向、越权、异常和审计验证；关键结果可追溯且数据不串租户。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备份加密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系统必须支持备份加密，并在平台/集团/商城/员工四级上下文中执行权限与数据范围校验。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以至少2个集团、2个商城、3类角色完成备份加密正向、越权、异常和审计验证；关键结果可追溯且数据不串租户。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备份恢复演练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系统必须支持备份恢复演练，并在平台/集团/商城/员工四级上下文中执行权限与数据范围校验。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以至少2个集团、2个商城、3类角色完成备份恢复演练正向、越权、异常和审计验证；关键结果可追溯且数据不串租户。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跨可用区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系统必须支持跨可用区，并在平台/集团/商城/员工四级上下文中执行权限与数据范围校验。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以至少2个集团、2个商城、3类角色完成跨可用区正向、越权、异常和审计验证；关键结果可追溯且数据不串租户。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RPO目标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系统必须支持RPO目标，并在平台/集团/商城/员工四级上下文中执行权限与数据范围校验。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以至少2个集团、2个商城、3类角色完成RPO目标正向、越权、异常和审计验证；关键结果可追溯且数据不串租户。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RTO目标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系统必须支持RTO目标，并在平台/集团/商城/员工四级上下文中执行权限与数据范围校验。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以至少2个集团、2个商城、3类角色完成RTO目标正向、越权、异常和审计验证；关键结果可追溯且数据不串租户。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故障降级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系统必须支持故障降级，并在平台/集团/商城/员工四级上下文中执行权限与数据范围校验。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以至少2个集团、2个商城、3类角色完成故障降级正向、越权、异常和审计验证；关键结果可追溯且数据不串租户。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只读模式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系统必须支持只读模式，并在平台/集团/商城/员工四级上下文中执行权限与数据范围校验。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以至少2个集团、2个商城、3类角色完成只读模式正向、越权、异常和审计验证；关键结果可追溯且数据不串租户。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供应商接口熔断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系统必须支持供应商接口熔断，并在平台/集团/商城/员工四级上下文中执行权限与数据范围校验。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以至少2个集团、2个商城、3类角色完成供应商接口熔断正向、越权、异常和审计验证；关键结果可追溯且数据不串租户。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支付通道降级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系统必须支持支付通道降级，并在平台/集团/商城/员工四级上下文中执行权限与数据范围校验。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以至少2个集团、2个商城、3类角色完成支付通道降级正向、越权、异常和审计验证；关键结果可追溯且数据不串租户。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灾难恢复预案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系统必须支持灾难恢复预案，并在平台/集团/商城/员工四级上下文中执行权限与数据范围校验。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以至少2个集团、2个商城、3类角色完成灾难恢复预案正向、越权、异常和审计验证；关键结果可追溯且数据不串租户。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BCP-012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年度演练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系统必须支持年度演练，并在平台/集团/商城/员工四级上下文中执行权限与数据范围校验。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以至少2个集团、2个商城、3类角色完成年度演练正向、越权、异常和审计验证；关键结果可追溯且数据不串租户。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2"/>
      </w:pPr>
      <w:r>
        <w:t>PM｜项目管理、培训与交付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700"/>
        <w:gridCol w:w="850"/>
        <w:gridCol w:w="2560"/>
        <w:gridCol w:w="2800"/>
      </w:tblGrid>
      <w:tr>
        <w:trPr>
          <w:tblHeader w:val="true"/>
        </w:trPr>
        <w:tc>
          <w:tcPr>
            <w:tcW w:type="dxa" w:w="9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编号</w:t>
            </w:r>
          </w:p>
        </w:tc>
        <w:tc>
          <w:tcPr>
            <w:tcW w:type="dxa" w:w="15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技术点</w:t>
            </w:r>
          </w:p>
        </w:tc>
        <w:tc>
          <w:tcPr>
            <w:tcW w:type="dxa" w:w="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优先级</w:t>
            </w:r>
          </w:p>
        </w:tc>
        <w:tc>
          <w:tcPr>
            <w:tcW w:type="dxa" w:w="8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阶段</w:t>
            </w:r>
          </w:p>
        </w:tc>
        <w:tc>
          <w:tcPr>
            <w:tcW w:type="dxa" w:w="25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要求</w:t>
            </w:r>
          </w:p>
        </w:tc>
        <w:tc>
          <w:tcPr>
            <w:tcW w:type="dxa" w:w="28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4"/>
              </w:rPr>
              <w:t>验收标准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需求基线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系统必须支持需求基线，并在平台/集团/商城/员工四级上下文中执行权限与数据范围校验。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以至少2个集团、2个商城、3类角色完成需求基线正向、越权、异常和审计验证；关键结果可追溯且数据不串租户。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原型评审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系统必须支持原型评审，并在平台/集团/商城/员工四级上下文中执行权限与数据范围校验。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以至少2个集团、2个商城、3类角色完成原型评审正向、越权、异常和审计验证；关键结果可追溯且数据不串租户。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UI评审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系统必须支持UI评审，并在平台/集团/商城/员工四级上下文中执行权限与数据范围校验。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以至少2个集团、2个商城、3类角色完成UI评审正向、越权、异常和审计验证；关键结果可追溯且数据不串租户。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技术方案评审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系统必须支持技术方案评审，并在平台/集团/商城/员工四级上下文中执行权限与数据范围校验。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以至少2个集团、2个商城、3类角色完成技术方案评审正向、越权、异常和审计验证；关键结果可追溯且数据不串租户。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迭代计划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系统必须支持迭代计划，并在平台/集团/商城/员工四级上下文中执行权限与数据范围校验。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以至少2个集团、2个商城、3类角色完成迭代计划正向、越权、异常和审计验证；关键结果可追溯且数据不串租户。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变更控制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MVP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系统必须支持变更控制，并在平台/集团/商城/员工四级上下文中执行权限与数据范围校验。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以至少2个集团、2个商城、3类角色完成变更控制正向、越权、异常和审计验证；关键结果可追溯且数据不串租户。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周报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系统必须支持周报，并在平台/集团/商城/员工四级上下文中执行权限与数据范围校验。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以至少2个集团、2个商城、3类角色完成周报正向、越权、异常和审计验证；关键结果可追溯且数据不串租户。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风险台账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系统必须支持风险台账，并在平台/集团/商城/员工四级上下文中执行权限与数据范围校验。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以至少2个集团、2个商城、3类角色完成风险台账正向、越权、异常和审计验证；关键结果可追溯且数据不串租户。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上线清单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系统必须支持上线清单，并在平台/集团/商城/员工四级上下文中执行权限与数据范围校验。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以至少2个集团、2个商城、3类角色完成上线清单正向、越权、异常和审计验证；关键结果可追溯且数据不串租户。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管理员培训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正式V1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系统必须支持管理员培训，并在平台/集团/商城/员工四级上下文中执行权限与数据范围校验。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以至少2个集团、2个商城、3类角色完成管理员培训正向、越权、异常和审计验证；关键结果可追溯且数据不串租户。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客服培训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系统必须支持客服培训，并在平台/集团/商城/员工四级上下文中执行权限与数据范围校验。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以至少2个集团、2个商城、3类角色完成客服培训正向、越权、异常和审计验证；关键结果可追溯且数据不串租户。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PM-012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验收与质保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P2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二期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系统必须支持验收与质保，并在平台/集团/商城/员工四级上下文中执行权限与数据范围校验。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4"/>
              </w:rPr>
              <w:t>以至少2个集团、2个商城、3类角色完成验收与质保正向、越权、异常和审计验证；关键结果可追溯且数据不串租户。</w:t>
            </w:r>
          </w:p>
        </w:tc>
      </w:tr>
    </w:tbl>
    <w:p>
      <w:pPr>
        <w:spacing w:after="0"/>
      </w:pPr>
    </w:p>
    <w:p>
      <w:pPr>
        <w:pStyle w:val="Heading1"/>
      </w:pPr>
      <w:r>
        <w:t>附录B. 接口、数据与非功能清单</w:t>
      </w:r>
    </w:p>
    <w:p>
      <w:pPr>
        <w:pStyle w:val="Heading2"/>
      </w:pPr>
      <w:r>
        <w:t>B.1 接口统一规则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所有写接口接受Idempotency-Key；返回统一code、message、data、trace_id。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分页统一page、page_size或cursor，禁止不同接口自行发明分页格式。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外部回调必须验签、校验时间戳与nonce，原始报文脱敏留档。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接口版本通过URL或Header管理；废弃接口至少提前一个发布周期通知。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批量任务异步化，返回job_id并提供进度、结果与失败明细下载。</w:t>
      </w:r>
    </w:p>
    <w:p>
      <w:pPr>
        <w:spacing w:after="80" w:line="300" w:lineRule="auto"/>
        <w:ind w:left="540" w:hanging="279"/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937"/>
          <w:sz w:val="22"/>
        </w:rPr>
        <w:t>OpenAPI文档、示例、错误码、限流、重试和联系人必须随版本更新。</w:t>
      </w:r>
    </w:p>
    <w:p>
      <w:pPr>
        <w:pStyle w:val="Heading2"/>
      </w:pPr>
      <w:r>
        <w:t>B.2 数据保留建议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</w:trPr>
        <w:tc>
          <w:tcPr>
            <w:tcW w:type="dxa" w:w="2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数据</w:t>
            </w:r>
          </w:p>
        </w:tc>
        <w:tc>
          <w:tcPr>
            <w:tcW w:type="dxa" w:w="2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建议保留</w:t>
            </w:r>
          </w:p>
        </w:tc>
        <w:tc>
          <w:tcPr>
            <w:tcW w:type="dxa" w:w="41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订单、支付、退款、结算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按财税和合同要求，建议不少于5年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最终由甲方法务/财务确定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账户账本与资金审计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长期或依法保留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只追加、不可覆盖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管理员审计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不少于1年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高风险操作可延长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登录与安全日志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不少于6个月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结合等保和安全要求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客服工单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2-3年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涉及争议的延长至结案后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临时验证码/令牌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分钟至小时级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到期自动删除</w:t>
            </w:r>
          </w:p>
        </w:tc>
      </w:tr>
    </w:tbl>
    <w:p>
      <w:pPr>
        <w:spacing w:after="0"/>
      </w:pPr>
    </w:p>
    <w:p>
      <w:pPr>
        <w:pStyle w:val="Heading1"/>
      </w:pPr>
      <w:r>
        <w:t>附录C. 风险、假设与合同保护条款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900"/>
        <w:gridCol w:w="6260"/>
      </w:tblGrid>
      <w:tr>
        <w:trPr>
          <w:tblHeader w:val="true"/>
        </w:trPr>
        <w:tc>
          <w:tcPr>
            <w:tcW w:type="dxa" w:w="22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风险</w:t>
            </w:r>
          </w:p>
        </w:tc>
        <w:tc>
          <w:tcPr>
            <w:tcW w:type="dxa" w:w="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级别</w:t>
            </w:r>
          </w:p>
        </w:tc>
        <w:tc>
          <w:tcPr>
            <w:tcW w:type="dxa" w:w="62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3A8F"/>
                <w:sz w:val="17"/>
              </w:rPr>
              <w:t>合同/技术措施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需求持续变化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P0基线签字；超范围走CR并调整费用工期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甲方接口延期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接口占位Mock；延期顺延，不承担窝工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运营主体不明确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备案、协议、支付、发票、客服主体在启动前确认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供应商接口质量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设置重试、补偿和人工工单；供应商SLA由甲方推动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真实资金风险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账本、事务、对账、审计和灰度；不得沿用localStorage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一个月工期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限定P0、8-10人并行、甲方每日决策；合同写6周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历史数据迁移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样例数据和字段映射先验收；清洗另计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小程序审核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平台审核时间不计入开发可控工期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域名与备案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甲方提供Cloudflare/备案权限和主体资料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验收拖延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约定验收窗口与逾期视为阶段验收</w:t>
            </w:r>
          </w:p>
        </w:tc>
      </w:tr>
    </w:tbl>
    <w:p>
      <w:pPr>
        <w:spacing w:after="0"/>
      </w:pPr>
    </w:p>
    <w:p>
      <w:pPr>
        <w:pStyle w:val="Heading2"/>
      </w:pPr>
      <w:r>
        <w:t>C.1 必须写入合同的排除项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未经书面列出的第三方系统、供应商、历史数据源和硬件设备。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甲方或第三方账号、资质、备案、商户号、短信签名、商标及内容合法性。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第三方平台审核时长、接口故障、政策变化及收费调整。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7×24客服人员、商品运营、供应商履约和财务结算执行，除非另签运营服务。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超出约定容量、并发、数据量和服务区域后的扩容与架构升级。</w:t>
      </w:r>
    </w:p>
    <w:p>
      <w:pPr>
        <w:spacing w:after="80" w:line="300" w:lineRule="auto"/>
        <w:ind w:left="540" w:hanging="279"/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937"/>
          <w:sz w:val="22"/>
        </w:rPr>
        <w:t>因甲方自行改代码、改DNS、泄露密钥或绕过流程造成的问题。</w:t>
      </w:r>
    </w:p>
    <w:p>
      <w:pPr>
        <w:pStyle w:val="Heading1"/>
      </w:pPr>
      <w:r>
        <w:t>最终建议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3A8F"/>
                <w:sz w:val="21"/>
              </w:rPr>
              <w:t>建议决策｜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将现有V2作为甲方需求确认与演示基线；先签“受控生产型MVP”而不是承诺完整商城。建议对外报价52.8万元，合同工期6周，开发冲刺4周，预留30%缓冲；任何真实资金、支付、供应商和运营责任均按本报告边界落入合同。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43A8F"/>
          <w:sz w:val="22"/>
        </w:rPr>
        <w:t>报告编制：雍彻科技（YONGCHE TECH）</w:t>
      </w:r>
    </w:p>
    <w:p>
      <w:r>
        <w:rPr>
          <w:rFonts w:ascii="Calibri" w:hAnsi="Calibri" w:eastAsia="Microsoft YaHei"/>
          <w:b w:val="0"/>
          <w:color w:val="667085"/>
          <w:sz w:val="22"/>
        </w:rPr>
        <w:t>版本：1.0｜日期：2026年7月24日｜本报告为技术与商务评估建议，最终范围、价格、税务和法律责任以双方盖章合同及附件为准。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 xml:space="preserve">雍彻科技（YONGCHE TECH）  ·  内部评审/甲方沟通稿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7"/>
      </w:rPr>
      <w:t>智慧翼企业福利商城｜全量技术方案与报价评估报告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3F1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0">
    <w:abstractNumId w:val="9"/>
  </w:num>
  <w:abstractNum w:abstractNumId="10">
    <w:nsid w:val="000003F2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1">
    <w:abstractNumId w:val="10"/>
  </w:num>
  <w:abstractNum w:abstractNumId="11">
    <w:nsid w:val="000003F3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  <w:lvlOverride w:ilvl="0">
      <w:startOverride w:val="1"/>
    </w:lvlOverride>
  </w:num>
  <w:abstractNum w:abstractNumId="12">
    <w:nsid w:val="000003F4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3">
    <w:abstractNumId w:val="12"/>
  </w:num>
  <w:abstractNum w:abstractNumId="13">
    <w:nsid w:val="000003F5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4">
    <w:abstractNumId w:val="13"/>
    <w:lvlOverride w:ilvl="0">
      <w:startOverride w:val="1"/>
    </w:lvlOverride>
  </w:num>
  <w:abstractNum w:abstractNumId="14">
    <w:nsid w:val="000003F6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5">
    <w:abstractNumId w:val="14"/>
  </w:num>
  <w:abstractNum w:abstractNumId="15">
    <w:nsid w:val="000003F7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6">
    <w:abstractNumId w:val="15"/>
  </w:num>
  <w:abstractNum w:abstractNumId="16">
    <w:nsid w:val="000003F8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7">
    <w:abstractNumId w:val="16"/>
  </w:num>
  <w:abstractNum w:abstractNumId="17">
    <w:nsid w:val="000003F9"/>
    <w:multiLevelType w:val="singleLevel"/>
    <w:lvl w:ilvl="0">
      <w:start w:val="1"/>
      <w:numFmt w:val="bullet"/>
      <w:lvlText w:val="•"/>
      <w:pPr>
        <w:ind w:left="540" w:hanging="28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43A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5E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43A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智慧翼企业福利商城全量技术方案与报价评估报告</dc:title>
  <dc:subject>域名、需求、架构、客服制度、项目计划、报价与验收</dc:subject>
  <dc:creator>雍彻科技（YONGCHE TECH）</dc:creator>
  <cp:keywords>智慧翼, 福利商城, zhudatuan.com, 雍彻科技, MVP, 技术方案, 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