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智慧翼企业福利商城生产型-mvp-开发说明"/>
    <w:p>
      <w:pPr>
        <w:pStyle w:val="Heading1"/>
      </w:pPr>
      <w:r>
        <w:rPr>
          <w:rFonts w:hint="eastAsia"/>
        </w:rPr>
        <w:t xml:space="preserve">智慧翼企业福利商城——生产型</w:t>
      </w:r>
      <w:r>
        <w:t xml:space="preserve"> MVP </w:t>
      </w:r>
      <w:r>
        <w:rPr>
          <w:rFonts w:hint="eastAsia"/>
        </w:rPr>
        <w:t xml:space="preserve">开发说明</w:t>
      </w:r>
    </w:p>
    <w:p>
      <w:pPr>
        <w:pStyle w:val="FirstParagraph"/>
      </w:pPr>
      <w:r>
        <w:rPr>
          <w:rFonts w:hint="eastAsia"/>
        </w:rPr>
        <w:t xml:space="preserve">技术服务方：雍彻科技（YONGCHE</w:t>
      </w:r>
      <w:r>
        <w:t xml:space="preserve"> </w:t>
      </w:r>
      <w:r>
        <w:rPr>
          <w:rFonts w:hint="eastAsia"/>
        </w:rPr>
        <w:t xml:space="preserve">TECH）</w:t>
      </w:r>
    </w:p>
    <w:p>
      <w:pPr>
        <w:pStyle w:val="BodyText"/>
      </w:pPr>
      <w:r>
        <w:rPr>
          <w:rFonts w:hint="eastAsia"/>
        </w:rPr>
        <w:t xml:space="preserve">更新日期：2026-07-24</w:t>
      </w:r>
    </w:p>
    <w:bookmarkStart w:id="19" w:name="X11e9b57e335165083ba473af4e93b7fa4374706"/>
    <w:p>
      <w:pPr>
        <w:pStyle w:val="Heading2"/>
      </w:pPr>
      <w:r>
        <w:t xml:space="preserve">1. </w:t>
      </w:r>
      <w:r>
        <w:rPr>
          <w:rFonts w:hint="eastAsia"/>
        </w:rPr>
        <w:t xml:space="preserve">本阶段结论</w:t>
      </w:r>
    </w:p>
    <w:p>
      <w:pPr>
        <w:pStyle w:val="FirstParagraph"/>
      </w:pPr>
      <w:r>
        <w:rPr>
          <w:rFonts w:hint="eastAsia"/>
        </w:rPr>
        <w:t xml:space="preserve">项目已从“纯前端演示原型”进入“生产型</w:t>
      </w:r>
      <w:r>
        <w:t xml:space="preserve"> MVP </w:t>
      </w:r>
      <w:r>
        <w:rPr>
          <w:rFonts w:hint="eastAsia"/>
        </w:rPr>
        <w:t xml:space="preserve">底座”建设。现有商城界面继续用于甲方确认交互和视觉；新增的服务端、Supabase</w:t>
      </w:r>
      <w:r>
        <w:t xml:space="preserve"> PostgreSQL </w:t>
      </w:r>
      <w:r>
        <w:rPr>
          <w:rFonts w:hint="eastAsia"/>
        </w:rPr>
        <w:t xml:space="preserve">数据库、权限、订单、内部账户支付、审计等模块，作为后续真实业务的权威数据源。</w:t>
      </w:r>
    </w:p>
    <w:p>
      <w:pPr>
        <w:pStyle w:val="BodyText"/>
      </w:pPr>
      <w:r>
        <w:rPr>
          <w:rFonts w:hint="eastAsia"/>
        </w:rPr>
        <w:t xml:space="preserve">正式数据库部署在</w:t>
      </w:r>
      <w:r>
        <w:t xml:space="preserve"> Supabase </w:t>
      </w:r>
      <w:r>
        <w:rPr>
          <w:rFonts w:hint="eastAsia"/>
        </w:rPr>
        <w:t xml:space="preserve">东京区域</w:t>
      </w:r>
      <w:r>
        <w:t xml:space="preserve"> </w:t>
      </w:r>
      <w:r>
        <w:rPr>
          <w:rStyle w:val="VerbatimChar"/>
        </w:rPr>
        <w:t xml:space="preserve">ap-northeast-1</w:t>
      </w:r>
      <w:r>
        <w:rPr>
          <w:rFonts w:hint="eastAsia"/>
        </w:rPr>
        <w:t xml:space="preserve">。浏览器不持有数据库管理密钥，前端只访问商城服务端</w:t>
      </w:r>
      <w:r>
        <w:t xml:space="preserve"> </w:t>
      </w:r>
      <w:r>
        <w:rPr>
          <w:rFonts w:hint="eastAsia"/>
        </w:rPr>
        <w:t xml:space="preserve">API；服务端通过</w:t>
      </w:r>
      <w:r>
        <w:t xml:space="preserve"> Supabase Data API </w:t>
      </w:r>
      <w:r>
        <w:rPr>
          <w:rFonts w:hint="eastAsia"/>
        </w:rPr>
        <w:t xml:space="preserve">调用受控的</w:t>
      </w:r>
      <w:r>
        <w:t xml:space="preserve"> PostgreSQL </w:t>
      </w:r>
      <w:r>
        <w:rPr>
          <w:rFonts w:hint="eastAsia"/>
        </w:rPr>
        <w:t xml:space="preserve">函数。</w:t>
      </w:r>
    </w:p>
    <w:p>
      <w:pPr>
        <w:pStyle w:val="BodyText"/>
      </w:pPr>
      <w:r>
        <w:rPr>
          <w:rFonts w:hint="eastAsia"/>
        </w:rPr>
        <w:t xml:space="preserve">当前不会把浏览器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中的余额、订单或库存视为正式数据。正式数据切换必须在企业身份认证和初始化数据确认后进行。</w:t>
      </w:r>
    </w:p>
    <w:bookmarkEnd w:id="19"/>
    <w:bookmarkStart w:id="24" w:name="X79c8b8d7a95c286adfb483e8b85d779e4dc26c8"/>
    <w:p>
      <w:pPr>
        <w:pStyle w:val="Heading2"/>
      </w:pPr>
      <w:r>
        <w:t xml:space="preserve">2. </w:t>
      </w:r>
      <w:r>
        <w:rPr>
          <w:rFonts w:hint="eastAsia"/>
        </w:rPr>
        <w:t xml:space="preserve">已落地的生产能力</w:t>
      </w:r>
    </w:p>
    <w:bookmarkStart w:id="20" w:name="X65fa6b5d5c6497cd6ad51a394068a51b56cc510"/>
    <w:p>
      <w:pPr>
        <w:pStyle w:val="Heading3"/>
      </w:pPr>
      <w:r>
        <w:t xml:space="preserve">2.1 </w:t>
      </w:r>
      <w:r>
        <w:rPr>
          <w:rFonts w:hint="eastAsia"/>
        </w:rPr>
        <w:t xml:space="preserve">四层业务隔离</w:t>
      </w:r>
    </w:p>
    <w:p>
      <w:pPr>
        <w:pStyle w:val="FirstParagraph"/>
      </w:pPr>
      <w:r>
        <w:rPr>
          <w:rFonts w:hint="eastAsia"/>
        </w:rPr>
        <w:t xml:space="preserve">数据模型按以下四层建立：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平台/集团租户（tenant）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企业（enterprise）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商城（mall）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员工用户（user）</w:t>
      </w:r>
    </w:p>
    <w:p>
      <w:pPr>
        <w:pStyle w:val="FirstParagraph"/>
      </w:pPr>
      <w:r>
        <w:rPr>
          <w:rFonts w:hint="eastAsia"/>
        </w:rPr>
        <w:t xml:space="preserve">所有商品、库存、账户、订单、支付、售后和审计查询均带租户及商城范围；员工订单额外校验企业和本人用户</w:t>
      </w:r>
      <w:r>
        <w:t xml:space="preserve"> </w:t>
      </w:r>
      <w:r>
        <w:rPr>
          <w:rFonts w:hint="eastAsia"/>
        </w:rPr>
        <w:t xml:space="preserve">ID，避免只靠前端切换造成串库。</w:t>
      </w:r>
    </w:p>
    <w:bookmarkEnd w:id="20"/>
    <w:bookmarkStart w:id="21" w:name="Xfe1038d576f22d004f75666bd5ad4516e13d129"/>
    <w:p>
      <w:pPr>
        <w:pStyle w:val="Heading3"/>
      </w:pPr>
      <w:r>
        <w:t xml:space="preserve">2.2 </w:t>
      </w:r>
      <w:r>
        <w:rPr>
          <w:rFonts w:hint="eastAsia"/>
        </w:rPr>
        <w:t xml:space="preserve">核心数据域</w:t>
      </w:r>
    </w:p>
    <w:p>
      <w:pPr>
        <w:pStyle w:val="FirstParagraph"/>
      </w:pPr>
      <w:r>
        <w:rPr>
          <w:rFonts w:hint="eastAsia"/>
        </w:rPr>
        <w:t xml:space="preserve">已建立</w:t>
      </w:r>
      <w:r>
        <w:t xml:space="preserve"> 26 </w:t>
      </w:r>
      <w:r>
        <w:rPr>
          <w:rFonts w:hint="eastAsia"/>
        </w:rPr>
        <w:t xml:space="preserve">张生产业务表：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组织与身份：租户、企业、商城、部门、用户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权限：角色、权限、角色权限、用户角色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商品供应链：供应商、SPU、SKU、库存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福利资金：福利/餐卡账户、不可变账户流水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交易：购物车、购物车明细、主订单、供应商子订单、订单明细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支付售后：支付单、支付分摊、退款、售后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治理：审计日志、幂等记录</w:t>
      </w:r>
    </w:p>
    <w:p>
      <w:pPr>
        <w:pStyle w:val="FirstParagraph"/>
      </w:pPr>
      <w:r>
        <w:rPr>
          <w:rFonts w:hint="eastAsia"/>
        </w:rPr>
        <w:t xml:space="preserve">金额统一以“分”为单位存储，禁止使用浮点数作为资金字段。</w:t>
      </w:r>
    </w:p>
    <w:bookmarkEnd w:id="21"/>
    <w:bookmarkStart w:id="22" w:name="X1bd9b60829db31de9ffa0d3d17f3e931ed53187"/>
    <w:p>
      <w:pPr>
        <w:pStyle w:val="Heading3"/>
      </w:pPr>
      <w:r>
        <w:t xml:space="preserve">2.3 </w:t>
      </w:r>
      <w:r>
        <w:rPr>
          <w:rFonts w:hint="eastAsia"/>
        </w:rPr>
        <w:t xml:space="preserve">数据库级风险控制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库存采用带可售条件的原子更新，预占失败会回滚整个下单事务。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福利卡与餐卡在行锁内扣减，任何账户余额不足都会回滚整个支付事务。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两个账户的扣款合计必须严格等于订单应付金额，订单只能从待支付状态支付一次。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账户流水和审计日志禁止更新、禁止删除。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创建订单和支付均要求</w:t>
      </w:r>
      <w:r>
        <w:t xml:space="preserve"> </w:t>
      </w:r>
      <w:r>
        <w:rPr>
          <w:rStyle w:val="VerbatimChar"/>
        </w:rPr>
        <w:t xml:space="preserve">Idempotency-Key</w:t>
      </w:r>
      <w:r>
        <w:rPr>
          <w:rFonts w:hint="eastAsia"/>
        </w:rPr>
        <w:t xml:space="preserve">，同一幂等键不能提交不同内容。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下单时按供应商自动拆分子订单。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收货人姓名、电话和地址使用</w:t>
      </w:r>
      <w:r>
        <w:t xml:space="preserve"> AES-256-GCM </w:t>
      </w:r>
      <w:r>
        <w:rPr>
          <w:rFonts w:hint="eastAsia"/>
        </w:rPr>
        <w:t xml:space="preserve">加密后入库；未配置密钥时禁止创建订单。</w:t>
      </w:r>
    </w:p>
    <w:p>
      <w:pPr>
        <w:pStyle w:val="Compact"/>
        <w:numPr>
          <w:ilvl w:val="0"/>
          <w:numId w:val="1003"/>
        </w:numPr>
      </w:pPr>
      <w:r>
        <w:t xml:space="preserve">26 </w:t>
      </w:r>
      <w:r>
        <w:rPr>
          <w:rFonts w:hint="eastAsia"/>
        </w:rPr>
        <w:t xml:space="preserve">张业务表全部启用</w:t>
      </w:r>
      <w:r>
        <w:t xml:space="preserve"> Row Level </w:t>
      </w:r>
      <w:r>
        <w:rPr>
          <w:rFonts w:hint="eastAsia"/>
        </w:rPr>
        <w:t xml:space="preserve">Security；</w:t>
      </w:r>
      <w:r>
        <w:rPr>
          <w:rStyle w:val="VerbatimChar"/>
        </w:rPr>
        <w:t xml:space="preserve">anon</w:t>
      </w:r>
      <w:r>
        <w:t xml:space="preserve"> </w:t>
      </w:r>
      <w:r>
        <w:rPr>
          <w:rFonts w:hint="eastAsia"/>
        </w:rPr>
        <w:t xml:space="preserve">与普通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rPr>
          <w:rFonts w:hint="eastAsia"/>
        </w:rPr>
        <w:t xml:space="preserve">角色没有直接表权限。</w:t>
      </w:r>
    </w:p>
    <w:bookmarkEnd w:id="22"/>
    <w:bookmarkStart w:id="23" w:name="Xb22cdc05b5e8d7853b8f1243a3ba82f2263309a"/>
    <w:p>
      <w:pPr>
        <w:pStyle w:val="Heading3"/>
      </w:pPr>
      <w:r>
        <w:t xml:space="preserve">2.4 </w:t>
      </w:r>
      <w:r>
        <w:rPr>
          <w:rFonts w:hint="eastAsia"/>
        </w:rPr>
        <w:t xml:space="preserve">已实现的</w:t>
      </w:r>
      <w:r>
        <w:t xml:space="preserve">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数据库、认证和加密配置健康检查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/api/v1/products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按商城、分类分页查询商品和实时可售库存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/api/v1/bootstrap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返回当前员工、权限和商城范围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查询本人福利卡、餐卡余额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查询本人订单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加密收货信息、预占库存、创建主子订单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/api/v1/orders/{id}/payments/internal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福利卡和餐卡组合支付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正式环境的写接口默认拒绝匿名请求。开发身份头仅在</w:t>
      </w:r>
      <w:r>
        <w:t xml:space="preserve"> </w:t>
      </w:r>
      <w:r>
        <w:rPr>
          <w:rStyle w:val="VerbatimChar"/>
        </w:rPr>
        <w:t xml:space="preserve">APP_ENV=development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AUTH_MODE=development</w:t>
      </w:r>
      <w:r>
        <w:t xml:space="preserve"> </w:t>
      </w:r>
      <w:r>
        <w:rPr>
          <w:rFonts w:hint="eastAsia"/>
        </w:rPr>
        <w:t xml:space="preserve">两项同时成立时启用。</w:t>
      </w:r>
    </w:p>
    <w:bookmarkEnd w:id="23"/>
    <w:bookmarkEnd w:id="24"/>
    <w:bookmarkStart w:id="25" w:name="Xafc1c64d28cf4933d9f41c13d8ba1aa08225083"/>
    <w:p>
      <w:pPr>
        <w:pStyle w:val="Heading2"/>
      </w:pPr>
      <w:r>
        <w:t xml:space="preserve">3. </w:t>
      </w:r>
      <w:r>
        <w:rPr>
          <w:rFonts w:hint="eastAsia"/>
        </w:rPr>
        <w:t xml:space="preserve">当前刻意未开放的能力</w:t>
      </w:r>
    </w:p>
    <w:p>
      <w:pPr>
        <w:pStyle w:val="FirstParagraph"/>
      </w:pPr>
      <w:r>
        <w:rPr>
          <w:rFonts w:hint="eastAsia"/>
        </w:rPr>
        <w:t xml:space="preserve">以下事项必须取得甲方的真实资质、账号或业务规则后才能安全接入：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企业</w:t>
      </w:r>
      <w:r>
        <w:t xml:space="preserve"> </w:t>
      </w:r>
      <w:r>
        <w:rPr>
          <w:rFonts w:hint="eastAsia"/>
        </w:rPr>
        <w:t xml:space="preserve">SSO、微信小程序登录或手机号认证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微信支付/支付宝/银联商户号及回调证书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阿里权益及其他供应商商品、库存、订单、发货、退款接口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企业组织架构和员工同步数据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正式商城、企业、部门和员工初始化数据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短信、邮件和企业微信通知通道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客服系统、工单</w:t>
      </w:r>
      <w:r>
        <w:t xml:space="preserve"> SLA </w:t>
      </w:r>
      <w:r>
        <w:rPr>
          <w:rFonts w:hint="eastAsia"/>
        </w:rPr>
        <w:t xml:space="preserve">和人工退款审批规则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发票、结算周期、供应商对账及财务科目</w:t>
      </w:r>
    </w:p>
    <w:p>
      <w:pPr>
        <w:pStyle w:val="FirstParagraph"/>
      </w:pPr>
      <w:r>
        <w:rPr>
          <w:rFonts w:hint="eastAsia"/>
        </w:rPr>
        <w:t xml:space="preserve">在上述信息未到位前，系统采取“安全失败”：允许公开查看测试商品，但不允许匿名下单或扣款。</w:t>
      </w:r>
    </w:p>
    <w:bookmarkEnd w:id="25"/>
    <w:bookmarkStart w:id="26" w:name="X8c016259dfc85af1f04a0a19e4d207d5ef4d0fc"/>
    <w:p>
      <w:pPr>
        <w:pStyle w:val="Heading2"/>
      </w:pPr>
      <w:r>
        <w:t xml:space="preserve">4. </w:t>
      </w:r>
      <w:r>
        <w:rPr>
          <w:rFonts w:hint="eastAsia"/>
        </w:rPr>
        <w:t xml:space="preserve">从演示数据切换到生产数据</w:t>
      </w:r>
    </w:p>
    <w:p>
      <w:pPr>
        <w:pStyle w:val="FirstParagraph"/>
      </w:pPr>
      <w:r>
        <w:rPr>
          <w:rFonts w:hint="eastAsia"/>
        </w:rPr>
        <w:t xml:space="preserve">切换分三步执行：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甲方确认身份方案，完成签名验证与账号绑定。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导入正式租户、企业、商城、员工、商品、SKU、库存和账户期初余额。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将现有页面的数据调用从</w:t>
      </w:r>
      <w:r>
        <w:t xml:space="preserve"> </w:t>
      </w:r>
      <w:r>
        <w:rPr>
          <w:rStyle w:val="VerbatimChar"/>
        </w:rPr>
        <w:t xml:space="preserve">mallService</w:t>
      </w:r>
      <w:r>
        <w:t xml:space="preserve"> </w:t>
      </w:r>
      <w:r>
        <w:rPr>
          <w:rFonts w:hint="eastAsia"/>
        </w:rPr>
        <w:t xml:space="preserve">切换到</w:t>
      </w:r>
      <w:r>
        <w:t xml:space="preserve"> </w:t>
      </w:r>
      <w:r>
        <w:rPr>
          <w:rStyle w:val="VerbatimChar"/>
        </w:rPr>
        <w:t xml:space="preserve">productionApi</w:t>
      </w:r>
      <w:r>
        <w:rPr>
          <w:rFonts w:hint="eastAsia"/>
        </w:rPr>
        <w:t xml:space="preserve">，完成购物车、结算、订单和个人中心的端到端验收。</w:t>
      </w:r>
    </w:p>
    <w:p>
      <w:pPr>
        <w:pStyle w:val="FirstParagraph"/>
      </w:pPr>
      <w:r>
        <w:rPr>
          <w:rFonts w:hint="eastAsia"/>
        </w:rPr>
        <w:t xml:space="preserve">切换后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只保留主题、提示关闭状态等设备偏好，不再保存余额、订单、卡券或库存。</w:t>
      </w:r>
    </w:p>
    <w:bookmarkEnd w:id="26"/>
    <w:bookmarkStart w:id="27" w:name="X45d575b544cefa26a305f23d9000de1d186b2cc"/>
    <w:p>
      <w:pPr>
        <w:pStyle w:val="Heading2"/>
      </w:pPr>
      <w:r>
        <w:t xml:space="preserve">5. </w:t>
      </w:r>
      <w:r>
        <w:rPr>
          <w:rFonts w:hint="eastAsia"/>
        </w:rPr>
        <w:t xml:space="preserve">测试与验收现状</w:t>
      </w:r>
    </w:p>
    <w:p>
      <w:pPr>
        <w:pStyle w:val="Compact"/>
        <w:numPr>
          <w:ilvl w:val="0"/>
          <w:numId w:val="1006"/>
        </w:numPr>
      </w:pPr>
      <w:r>
        <w:t xml:space="preserve">TypeScript </w:t>
      </w:r>
      <w:r>
        <w:rPr>
          <w:rFonts w:hint="eastAsia"/>
        </w:rPr>
        <w:t xml:space="preserve">严格检查通过。</w:t>
      </w:r>
    </w:p>
    <w:p>
      <w:pPr>
        <w:pStyle w:val="Compact"/>
        <w:numPr>
          <w:ilvl w:val="0"/>
          <w:numId w:val="1006"/>
        </w:numPr>
      </w:pPr>
      <w:r>
        <w:t xml:space="preserve">11 </w:t>
      </w:r>
      <w:r>
        <w:rPr>
          <w:rFonts w:hint="eastAsia"/>
        </w:rPr>
        <w:t xml:space="preserve">项自动化测试通过。</w:t>
      </w:r>
    </w:p>
    <w:p>
      <w:pPr>
        <w:pStyle w:val="Compact"/>
        <w:numPr>
          <w:ilvl w:val="0"/>
          <w:numId w:val="1006"/>
        </w:numPr>
      </w:pPr>
      <w:r>
        <w:t xml:space="preserve">2 </w:t>
      </w:r>
      <w:r>
        <w:rPr>
          <w:rFonts w:hint="eastAsia"/>
        </w:rPr>
        <w:t xml:space="preserve">个</w:t>
      </w:r>
      <w:r>
        <w:t xml:space="preserve"> PostgreSQL </w:t>
      </w:r>
      <w:r>
        <w:rPr>
          <w:rFonts w:hint="eastAsia"/>
        </w:rPr>
        <w:t xml:space="preserve">迁移已应用到</w:t>
      </w:r>
      <w:r>
        <w:t xml:space="preserve"> Supabase </w:t>
      </w:r>
      <w:r>
        <w:rPr>
          <w:rFonts w:hint="eastAsia"/>
        </w:rPr>
        <w:t xml:space="preserve">正式项目。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远程数据库健康检查通过：26</w:t>
      </w:r>
      <w:r>
        <w:t xml:space="preserve"> </w:t>
      </w:r>
      <w:r>
        <w:rPr>
          <w:rFonts w:hint="eastAsia"/>
        </w:rPr>
        <w:t xml:space="preserve">张业务表就绪。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已完成远程“创建订单</w:t>
      </w:r>
      <w:r>
        <w:t xml:space="preserve"> → </w:t>
      </w:r>
      <w:r>
        <w:rPr>
          <w:rFonts w:hint="eastAsia"/>
        </w:rPr>
        <w:t xml:space="preserve">福利账户支付</w:t>
      </w:r>
      <w:r>
        <w:t xml:space="preserve"> → </w:t>
      </w:r>
      <w:r>
        <w:rPr>
          <w:rFonts w:hint="eastAsia"/>
        </w:rPr>
        <w:t xml:space="preserve">支付分摊</w:t>
      </w:r>
      <w:r>
        <w:t xml:space="preserve"> → </w:t>
      </w:r>
      <w:r>
        <w:rPr>
          <w:rFonts w:hint="eastAsia"/>
        </w:rPr>
        <w:t xml:space="preserve">流水与审计”交易验证。</w:t>
      </w:r>
    </w:p>
    <w:p>
      <w:pPr>
        <w:pStyle w:val="Compact"/>
        <w:numPr>
          <w:ilvl w:val="0"/>
          <w:numId w:val="1006"/>
        </w:numPr>
      </w:pPr>
      <w:r>
        <w:t xml:space="preserve">Vinext/Cloudflare </w:t>
      </w:r>
      <w:r>
        <w:rPr>
          <w:rFonts w:hint="eastAsia"/>
        </w:rPr>
        <w:t xml:space="preserve">生产构建通过。</w:t>
      </w:r>
    </w:p>
    <w:p>
      <w:pPr>
        <w:pStyle w:val="Compact"/>
        <w:numPr>
          <w:ilvl w:val="0"/>
          <w:numId w:val="1006"/>
        </w:numPr>
      </w:pPr>
      <w:r>
        <w:t xml:space="preserve">Supabase </w:t>
      </w:r>
      <w:r>
        <w:rPr>
          <w:rFonts w:hint="eastAsia"/>
        </w:rPr>
        <w:t xml:space="preserve">项目引用、迁移文件和</w:t>
      </w:r>
      <w:r>
        <w:t xml:space="preserve"> CLI </w:t>
      </w:r>
      <w:r>
        <w:rPr>
          <w:rFonts w:hint="eastAsia"/>
        </w:rPr>
        <w:t xml:space="preserve">配置纳入</w:t>
      </w:r>
      <w:r>
        <w:t xml:space="preserve"> </w:t>
      </w:r>
      <w:r>
        <w:rPr>
          <w:rFonts w:hint="eastAsia"/>
        </w:rPr>
        <w:t xml:space="preserve">Git；数据库密钥只保存在</w:t>
      </w:r>
      <w:r>
        <w:t xml:space="preserve"> Sites </w:t>
      </w:r>
      <w:r>
        <w:rPr>
          <w:rFonts w:hint="eastAsia"/>
        </w:rPr>
        <w:t xml:space="preserve">生产密钥库，不进入代码仓库。</w:t>
      </w:r>
    </w:p>
    <w:bookmarkEnd w:id="27"/>
    <w:bookmarkStart w:id="28" w:name="X12546bfcb32b618795a7c19175356b1ae35ad5a"/>
    <w:p>
      <w:pPr>
        <w:pStyle w:val="Heading2"/>
      </w:pPr>
      <w:r>
        <w:t xml:space="preserve">6. </w:t>
      </w:r>
      <w:r>
        <w:rPr>
          <w:rFonts w:hint="eastAsia"/>
        </w:rPr>
        <w:t xml:space="preserve">下一迭代</w:t>
      </w:r>
    </w:p>
    <w:p>
      <w:pPr>
        <w:pStyle w:val="FirstParagraph"/>
      </w:pPr>
      <w:r>
        <w:rPr>
          <w:rFonts w:hint="eastAsia"/>
        </w:rPr>
        <w:t xml:space="preserve">下一阶段优先顺序：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确认并接入企业身份认证。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建立运营管理后台的商品、库存、订单和员工权限模块。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完成前端正式</w:t>
      </w:r>
      <w:r>
        <w:t xml:space="preserve"> API </w:t>
      </w:r>
      <w:r>
        <w:rPr>
          <w:rFonts w:hint="eastAsia"/>
        </w:rPr>
        <w:t xml:space="preserve">切换。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接入第一家权益/实物供应商。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接入支付渠道及异步回调、退款。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建立日对账、差错处理、告警、备份和客服工单制度。</w:t>
      </w:r>
    </w:p>
    <w:bookmarkEnd w:id="28"/>
    <w:bookmarkEnd w:id="29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7085"/>
        <w:sz w:val="16"/>
      </w:rPr>
      <w:t xml:space="preserve">雍彻科技（YONGCHE TECH）  ·  内部评审/甲方沟通稿  · 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667085"/>
        <w:sz w:val="17"/>
      </w:rPr>
      <w:t>智慧翼企业福利商城｜全量技术方案与报价评估报告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">
    <w:nsid w:val="000003F1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0">
    <w:nsid w:val="000003F2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1">
    <w:nsid w:val="000003F3"/>
    <w:multiLevelType w:val="singleLevel"/>
    <w:lvl w:ilvl="0">
      <w:start w:val="1"/>
      <w:numFmt w:val="decimal"/>
      <w:lvlText w:val="%1."/>
      <w:lvlJc w:val="left"/>
      <w:pPr>
        <w:tabs>
          <w:tab w:pos="540" w:val="num"/>
        </w:tabs>
        <w:ind w:hanging="280" w:left="540"/>
      </w:pPr>
    </w:lvl>
  </w:abstractNum>
  <w:abstractNum w:abstractNumId="12">
    <w:nsid w:val="000003F4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3">
    <w:nsid w:val="000003F5"/>
    <w:multiLevelType w:val="singleLevel"/>
    <w:lvl w:ilvl="0">
      <w:start w:val="1"/>
      <w:numFmt w:val="decimal"/>
      <w:lvlText w:val="%1."/>
      <w:lvlJc w:val="left"/>
      <w:pPr>
        <w:tabs>
          <w:tab w:pos="540" w:val="num"/>
        </w:tabs>
        <w:ind w:hanging="280" w:left="540"/>
      </w:pPr>
    </w:lvl>
  </w:abstractNum>
  <w:abstractNum w:abstractNumId="14">
    <w:nsid w:val="000003F6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5">
    <w:nsid w:val="000003F7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6">
    <w:nsid w:val="000003F8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7">
    <w:nsid w:val="000003F9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  <w:lvlOverride w:ilvl="0">
      <w:startOverride w:val="1"/>
    </w:lvlOverride>
  </w:num>
  <w:num w:numId="13">
    <w:abstractNumId w:val="12"/>
  </w:num>
  <w:num w:numId="14">
    <w:abstractNumId w:val="13"/>
    <w:lvlOverride w:ilvl="0">
      <w:startOverride w:val="1"/>
    </w:lvlOverride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Calibri" w:eastAsia="Microsoft YaHei" w:hAnsi="Calibri"/>
      <w:color w:val="1F29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/>
      <w:outlineLvl w:val="0"/>
    </w:pPr>
    <w:rPr>
      <w:rFonts w:ascii="Calibri" w:asciiTheme="majorHAnsi" w:cstheme="majorBidi" w:eastAsia="Microsoft YaHei" w:eastAsiaTheme="majorEastAsia" w:hAnsi="Calibri" w:hAnsiTheme="majorHAnsi"/>
      <w:b/>
      <w:bCs/>
      <w:color w:val="143A8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80"/>
      <w:outlineLvl w:val="1"/>
    </w:pPr>
    <w:rPr>
      <w:rFonts w:ascii="Calibri" w:asciiTheme="majorHAnsi" w:cstheme="majorBidi" w:eastAsia="Microsoft YaHei" w:eastAsiaTheme="majorEastAsia" w:hAnsi="Calibri" w:hAnsiTheme="majorHAnsi"/>
      <w:b/>
      <w:bCs/>
      <w:color w:val="1F5EF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Calibri" w:asciiTheme="majorHAnsi" w:cstheme="majorBidi" w:eastAsia="Microsoft YaHei" w:eastAsiaTheme="majorEastAsia" w:hAnsi="Calibri" w:hAnsiTheme="majorHAnsi"/>
      <w:b/>
      <w:bCs/>
      <w:color w:val="143A8F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hanging="271" w:left="540"/>
      <w:contextualSpacing/>
    </w:pPr>
    <w:rPr>
      <w:rFonts w:ascii="Calibri" w:eastAsia="Microsoft YaHei" w:hAnsi="Calibri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hanging="271" w:left="540"/>
      <w:contextualSpacing/>
    </w:pPr>
    <w:rPr>
      <w:rFonts w:ascii="Calibri" w:eastAsia="Microsoft YaHei" w:hAnsi="Calibri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2026-07-24T06:46:07Z</dcterms:created>
  <dcterms:modified xsi:type="dcterms:W3CDTF">2026-07-24T06:46:07Z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