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1" w:name="智慧翼企业福利商城"/>
    <w:p>
      <w:pPr>
        <w:pStyle w:val="Heading1"/>
      </w:pPr>
      <w:r>
        <w:rPr>
          <w:rFonts w:hint="eastAsia"/>
        </w:rPr>
        <w:t xml:space="preserve">智慧翼企业福利商城</w:t>
      </w:r>
    </w:p>
    <w:bookmarkStart w:id="19" w:name="X39900140f299b76600a5cd10881aef6fd90eccc"/>
    <w:p>
      <w:pPr>
        <w:pStyle w:val="Heading2"/>
      </w:pPr>
      <w:r>
        <w:rPr>
          <w:rFonts w:hint="eastAsia"/>
        </w:rPr>
        <w:t xml:space="preserve">15天阶段交付与全面对接确认书（甲方核对版）</w:t>
      </w:r>
    </w:p>
    <w:p>
      <w:pPr>
        <w:pStyle w:val="FirstParagraph"/>
      </w:pPr>
      <w:r>
        <w:rPr>
          <w:rFonts w:hint="eastAsia"/>
        </w:rPr>
        <w:t xml:space="preserve">技术服务方：雍彻科技（YONGCHE</w:t>
      </w:r>
      <w:r>
        <w:t xml:space="preserve"> </w:t>
      </w:r>
      <w:r>
        <w:rPr>
          <w:rFonts w:hint="eastAsia"/>
        </w:rPr>
        <w:t xml:space="preserve">TECH）</w:t>
      </w:r>
      <w:r>
        <w:br/>
      </w:r>
      <w:r>
        <w:rPr>
          <w:rFonts w:hint="eastAsia"/>
        </w:rPr>
        <w:t xml:space="preserve">项目名称：智慧翼企业福利商城</w:t>
      </w:r>
      <w:r>
        <w:br/>
      </w:r>
      <w:r>
        <w:rPr>
          <w:rFonts w:hint="eastAsia"/>
        </w:rPr>
        <w:t xml:space="preserve">文件版本：V1.0</w:t>
      </w:r>
      <w:r>
        <w:br/>
      </w:r>
      <w:r>
        <w:rPr>
          <w:rFonts w:hint="eastAsia"/>
        </w:rPr>
        <w:t xml:space="preserve">编制日期：2026年7月24日</w:t>
      </w:r>
      <w:r>
        <w:br/>
      </w:r>
      <w:r>
        <w:rPr>
          <w:rFonts w:hint="eastAsia"/>
        </w:rPr>
        <w:t xml:space="preserve">建议阶段交付日：2026年8月8日（自本文件形成之日起15日）</w:t>
      </w:r>
    </w:p>
    <w:p>
      <w:r>
        <w:pict>
          <v:rect style="width:0;height:1.5pt" o:hralign="center" o:hrstd="t" o:hr="t"/>
        </w:pict>
      </w:r>
    </w:p>
    <w:bookmarkEnd w:id="19"/>
    <w:bookmarkStart w:id="20" w:name="一文件目的"/>
    <w:p>
      <w:pPr>
        <w:pStyle w:val="Heading2"/>
      </w:pPr>
      <w:r>
        <w:rPr>
          <w:rFonts w:hint="eastAsia"/>
        </w:rPr>
        <w:t xml:space="preserve">一、文件目的</w:t>
      </w:r>
    </w:p>
    <w:p>
      <w:pPr>
        <w:pStyle w:val="FirstParagraph"/>
      </w:pPr>
      <w:r>
        <w:rPr>
          <w:rFonts w:hint="eastAsia"/>
        </w:rPr>
        <w:t xml:space="preserve">本文件用于甲乙双方共同核对以下内容：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当前已经形成的阶段性成果；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未来15日拟整理、联调和交付的内容；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第一阶段MVP的准确边界；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甲方必须确认的业务规则；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甲方及第三方必须提供的接口、账号、资质和测试资料；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验收依据、反馈时限、变更流程和付款节点；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未确认事项、第三方依赖及双方责任边界。</w:t>
      </w:r>
    </w:p>
    <w:p>
      <w:pPr>
        <w:pStyle w:val="FirstParagraph"/>
      </w:pPr>
      <w:r>
        <w:rPr>
          <w:rFonts w:hint="eastAsia"/>
        </w:rPr>
        <w:t xml:space="preserve">本文件是需求、技术方案、报价、排期和验收材料的组成部分，不等同于“所有功能已正式上线”。标记为“待甲方确认”“待第三方资料”“规划中”的事项，不视为乙方已经无条件承诺。</w:t>
      </w:r>
    </w:p>
    <w:bookmarkEnd w:id="20"/>
    <w:bookmarkStart w:id="21" w:name="二关联文件"/>
    <w:p>
      <w:pPr>
        <w:pStyle w:val="Heading2"/>
      </w:pPr>
      <w:r>
        <w:rPr>
          <w:rFonts w:hint="eastAsia"/>
        </w:rPr>
        <w:t xml:space="preserve">二、关联文件</w:t>
      </w:r>
    </w:p>
    <w:p>
      <w:pPr>
        <w:pStyle w:val="FirstParagraph"/>
      </w:pPr>
      <w:r>
        <w:rPr>
          <w:rFonts w:hint="eastAsia"/>
        </w:rPr>
        <w:t xml:space="preserve">本文件与以下资料共同构成项目需求记录：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《福利商城项目需求与MVP确认问卷（3）》；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《湖北智慧翼&amp;阿里权益沟通会》会议纪要；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《智慧翼企业福利商城全量技术方案与报价评估报告—雍彻科技》；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《智慧翼企业福利商城生产型MVP开发说明》；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甲乙双方后续书面确认的原型、接口文档、测试用例、变更单和验收单。</w:t>
      </w:r>
    </w:p>
    <w:p>
      <w:pPr>
        <w:pStyle w:val="FirstParagraph"/>
      </w:pPr>
      <w:r>
        <w:rPr>
          <w:rFonts w:hint="eastAsia"/>
        </w:rPr>
        <w:t xml:space="preserve">如上述文件内容存在冲突，以双方最后签字或通过约定书面渠道确认的版本为准。</w:t>
      </w:r>
    </w:p>
    <w:bookmarkEnd w:id="21"/>
    <w:bookmarkStart w:id="22" w:name="三对甲方的阶段展示口径"/>
    <w:p>
      <w:pPr>
        <w:pStyle w:val="Heading2"/>
      </w:pPr>
      <w:r>
        <w:rPr>
          <w:rFonts w:hint="eastAsia"/>
        </w:rPr>
        <w:t xml:space="preserve">三、对甲方的阶段展示口径</w:t>
      </w:r>
    </w:p>
    <w:p>
      <w:pPr>
        <w:pStyle w:val="FirstParagraph"/>
      </w:pPr>
      <w:r>
        <w:rPr>
          <w:rFonts w:hint="eastAsia"/>
        </w:rPr>
        <w:t xml:space="preserve">建议向甲方统一说明：</w:t>
      </w:r>
    </w:p>
    <w:p>
      <w:pPr>
        <w:pStyle w:val="BlockText"/>
      </w:pPr>
      <w:r>
        <w:rPr>
          <w:rFonts w:hint="eastAsia"/>
        </w:rPr>
        <w:t xml:space="preserve">项目已完成商城前台原型和生产型技术底座，正在进行业务规则核对、正式接口准备、数据初始化及端到端联调。未来15日将完成阶段版本整理、甲方确认项闭环和阶段验收资料，不将尚未取得资质或接口的第三方能力描述为已经正式接通。</w:t>
      </w:r>
    </w:p>
    <w:p>
      <w:pPr>
        <w:pStyle w:val="FirstParagraph"/>
      </w:pPr>
      <w:r>
        <w:rPr>
          <w:rFonts w:hint="eastAsia"/>
        </w:rPr>
        <w:t xml:space="preserve">不得将下列事项表述为已正式完成：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企业正式身份认证；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微信、支付宝或银联真实资金支付；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阿里权益、天猫超市、淘宝闪购等正式生产接口；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正式财务结算、发票、供应商对账；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已经满足等保、跨境数据、备案或其他法律合规结论；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已经完成大规模并发和正式运营验收。</w:t>
      </w:r>
    </w:p>
    <w:bookmarkEnd w:id="22"/>
    <w:bookmarkStart w:id="23" w:name="四当前阶段成果记录"/>
    <w:p>
      <w:pPr>
        <w:pStyle w:val="Heading2"/>
      </w:pPr>
      <w:r>
        <w:rPr>
          <w:rFonts w:hint="eastAsia"/>
        </w:rPr>
        <w:t xml:space="preserve">四、当前阶段成果记录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核验方式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甲方是否需确认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京东/新蛋式高信息密度PC商城首页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页面访问及截图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商品列表、商品详情、购物车、结算、订单、账户、卡券、售后等主要页面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页面逐项演示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移动端响应式结构及小程序式底部导航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手机尺寸演示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蓝色企业品牌主色与橙色价格/行动色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视觉评审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前端路由、严格TypeScript及统一状态来源修复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编译与代码检查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服务端API入口与安全失败机制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A07</w:t>
            </w:r>
          </w:p>
        </w:tc>
        <w:tc>
          <w:tcPr/>
          <w:p>
            <w:pPr>
              <w:pStyle w:val="Compact"/>
            </w:pPr>
            <w:r>
              <w:t xml:space="preserve">Supabase </w:t>
            </w:r>
            <w:r>
              <w:rPr>
                <w:rFonts w:hint="eastAsia"/>
              </w:rPr>
              <w:t xml:space="preserve">PostgreSQL正式项目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已建立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远程健康检查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需要确认数据地域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26张核心业务表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已建立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数据库迁移记录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需要确认业务字段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平台/企业/商城/员工范围字段与RLS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底座完成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权限结构检查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需要确认层级定义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库存原子预占及超卖保护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远程交易验证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需要确认库存来源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福利卡与餐卡组合扣款防超扣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远程交易验证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需要确认账户性质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主订单按供应商拆分子订单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远程交易验证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需要确认拆单规则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幂等订单、幂等支付、账户流水与审计日志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数据库及接口验证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需要确认留存期限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收货信息AES-256-GCM加密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配置与代码检查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需要确认密钥管理制度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TypeScript检查、11项自动化测试及生产构建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需要确认最终验收用例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GitHub私有代码仓库和版本记录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已建立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需要确认源码交付条件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现有生产演示部署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已建立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域名及健康接口检查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需要确认正式域名与备案主体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说明：上述“已完成”指技术底座或阶段版本已经实现并经开发方验证，不等同于甲方正式业务验收，也不表示所有第三方生产能力已经接通。</w:t>
      </w:r>
    </w:p>
    <w:bookmarkEnd w:id="23"/>
    <w:bookmarkStart w:id="26" w:name="五未来15日逐日提交计划"/>
    <w:p>
      <w:pPr>
        <w:pStyle w:val="Heading2"/>
      </w:pPr>
      <w:r>
        <w:rPr>
          <w:rFonts w:hint="eastAsia"/>
        </w:rPr>
        <w:t xml:space="preserve">五、未来15日逐日提交计划</w:t>
      </w:r>
    </w:p>
    <w:p>
      <w:pPr>
        <w:pStyle w:val="FirstParagraph"/>
      </w:pPr>
      <w:r>
        <w:rPr>
          <w:rFonts w:hint="eastAsia"/>
        </w:rPr>
        <w:t xml:space="preserve">本计划采用“每天一个可评审成果”的方式提交。技术服务方可以提前进行内部开发和风险预研，但对甲方的正式提交以本表为准；每天提交的内容需获得甲方反馈后，作为下一日工作的输入。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对甲方提交内容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当日不提交内容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需要甲方反馈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第1日（7月24日）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需求基线与视觉方向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项目目标、MVP边界、PC参考京东/新蛋、移动端参考美团、蓝橙品牌方向、待确认问题清单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数据库、后端架构、支付和完整源码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确认业务方向、终端和负责人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第2日（7月25日）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首页阶段稿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PC首页阶段截图、页面区域说明、分类与搜索布局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完整交互和全部页面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确认首页布局、品牌名称和文案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第3日（7月26日）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商品浏览流程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商品列表、分类、搜索和筛选阶段稿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购物车、结算和订单底层逻辑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确认分类、商品字段和价格展示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第4日（7月27日）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商品详情、SKU、库存、供应商和服务说明稿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真实供应商接口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确认SKU、库存、运费和售后展示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第5日（7月28日）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购物车、商品选择、数量和失效商品处理稿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正式扣库存和支付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确认多供应商购物车规则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第6日（7月29日）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结算流程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地址、订单金额、福利卡/餐卡组合支付交互稿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真实资金支付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确认地址、优惠、运费和支付组合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第7日（7月30日）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订单列表、详情、状态和取消流程稿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完整财务与供应商履约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确认订单状态及48小时关闭规则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第8日（7月31日）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售后与客服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售后申请、凭证、退款状态、客服入口和工单草案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正式客服系统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确认审核主体、SLA和损失承担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第9日（8月1日）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移动端阶段稿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移动首页、分类、购物车、订单和底部导航截图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小程序正式上架包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确认H5/小程序/Android优先级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第10日（8月2日）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组织与权限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平台、分销商、集团、商城、员工层级图和角色权限表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完整数据库设计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确认最终层级及跨层数据权限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第11日（8月3日）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商品供应商对接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商品、价格、库存、订单、发货、售后的接口字段清单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真实密钥和生产接口结果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提供阿里权益等接口文档和测试账号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第12日（8月4日）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账户与交易安全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福利账户、餐卡、库存预占、幂等和审计方案摘要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敏感密钥、数据库管理权限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确认账户性质、资金主体和审批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第13日（8月5日）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技术架构与部署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前端、API、数据库、部署、备份及安全边界说明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全部运维密钥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确认Rust是否进入本期及数据部署地域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第14日（8月6日）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测试和预验收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阶段测试结果、已知限制、缺陷分级及预验收清单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未取得资料的第三方能力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集中提交验收意见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第15日（8月7日）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阶段封版与确认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阶段演示版、需求确认书、技术说明、问题台账、后续报价及阶段验收单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合同外新增功能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签署阶段确认并办理对应付款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如果希望将第15日安排在2026年8月8日，可将第14日设置为甲方反馈缓冲日，第15日顺延一天。</w:t>
      </w:r>
    </w:p>
    <w:bookmarkStart w:id="24" w:name="第1日仅对外提交的材料"/>
    <w:p>
      <w:pPr>
        <w:pStyle w:val="Heading3"/>
      </w:pPr>
      <w:r>
        <w:rPr>
          <w:rFonts w:hint="eastAsia"/>
        </w:rPr>
        <w:t xml:space="preserve">第1日仅对外提交的材料</w:t>
      </w:r>
    </w:p>
    <w:p>
      <w:pPr>
        <w:pStyle w:val="FirstParagraph"/>
      </w:pPr>
      <w:r>
        <w:rPr>
          <w:rFonts w:hint="eastAsia"/>
        </w:rPr>
        <w:t xml:space="preserve">第一日建议只提交以下三项：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一页《项目目标与MVP范围摘要》；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3—5张阶段页面截图：首页、商品列表、商品详情、移动首页；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一页《需要甲方确认的10个问题》。</w:t>
      </w:r>
    </w:p>
    <w:p>
      <w:pPr>
        <w:pStyle w:val="FirstParagraph"/>
      </w:pPr>
      <w:r>
        <w:rPr>
          <w:rFonts w:hint="eastAsia"/>
        </w:rPr>
        <w:t xml:space="preserve">第一日不建议发送全量372项技术报告、数据库表结构、完整接口清单、GitHub地址、生产环境密钥或完整后台能力。全量材料在第13—15日随阶段验收逐步提交。</w:t>
      </w:r>
    </w:p>
    <w:bookmarkEnd w:id="24"/>
    <w:bookmarkStart w:id="25" w:name="每日沟通规则"/>
    <w:p>
      <w:pPr>
        <w:pStyle w:val="Heading3"/>
      </w:pPr>
      <w:r>
        <w:rPr>
          <w:rFonts w:hint="eastAsia"/>
        </w:rPr>
        <w:t xml:space="preserve">每日沟通规则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每天下午固定时间提交一个压缩包或PDF；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文件名统一使用“智慧翼福利商城-第XX日-主题-V1”；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当日只要求甲方确认3—5个问题；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甲方新增要求先进入问题台账，不在群聊中口头承诺免费增加；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甲方反馈超过约定时限，下一日按当前确认版本继续，相关返工通过变更记录处理；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每日成果都保留日期、版本号、反馈人和确认结论。</w:t>
      </w:r>
    </w:p>
    <w:p>
      <w:pPr>
        <w:pStyle w:val="FirstParagraph"/>
      </w:pPr>
      <w:r>
        <w:rPr>
          <w:rFonts w:hint="eastAsia"/>
        </w:rPr>
        <w:t xml:space="preserve">若甲方或第三方资料未按时提供，相应接口不作为本15日阶段交付的阻塞条件，应记录为“待资料后实施”，相关工期顺延。</w:t>
      </w:r>
    </w:p>
    <w:bookmarkEnd w:id="25"/>
    <w:bookmarkEnd w:id="26"/>
    <w:bookmarkStart w:id="29" w:name="六第一阶段mvp建议范围"/>
    <w:p>
      <w:pPr>
        <w:pStyle w:val="Heading2"/>
      </w:pPr>
      <w:r>
        <w:rPr>
          <w:rFonts w:hint="eastAsia"/>
        </w:rPr>
        <w:t xml:space="preserve">六、第一阶段MVP建议范围</w:t>
      </w:r>
    </w:p>
    <w:bookmarkStart w:id="27" w:name="X94e4294b77c84b62c9aacd32f5a32f4c2d755f5"/>
    <w:p>
      <w:pPr>
        <w:pStyle w:val="Heading3"/>
      </w:pPr>
      <w:r>
        <w:t xml:space="preserve">6.1 </w:t>
      </w:r>
      <w:r>
        <w:rPr>
          <w:rFonts w:hint="eastAsia"/>
        </w:rPr>
        <w:t xml:space="preserve">建议纳入P0</w:t>
      </w:r>
    </w:p>
    <w:p>
      <w:pPr>
        <w:pStyle w:val="Compact"/>
        <w:numPr>
          <w:ilvl w:val="0"/>
          <w:numId w:val="1006"/>
        </w:numPr>
      </w:pPr>
      <w:r>
        <w:t xml:space="preserve">PC </w:t>
      </w:r>
      <w:r>
        <w:rPr>
          <w:rFonts w:hint="eastAsia"/>
        </w:rPr>
        <w:t xml:space="preserve">Web商城前台；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响应式移动端H5；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企业、商城、员工基础范围；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商品分类、搜索、列表、详情；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购物车和结算；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收货地址与加密快照；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主订单及供应商拆单；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福利账户、餐卡账户及组合扣款；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订单查询及基础取消；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基础售后申请入口；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商品、库存、订单基础服务端API；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租户范围、RLS、幂等、流水和审计；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演示或测试环境部署；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阶段测试、技术说明和交付清单。</w:t>
      </w:r>
    </w:p>
    <w:bookmarkEnd w:id="27"/>
    <w:bookmarkStart w:id="28" w:name="X56af70165fed923f0f302b70e7bf383ba965e40"/>
    <w:p>
      <w:pPr>
        <w:pStyle w:val="Heading3"/>
      </w:pPr>
      <w:r>
        <w:t xml:space="preserve">6.2 </w:t>
      </w:r>
      <w:r>
        <w:rPr>
          <w:rFonts w:hint="eastAsia"/>
        </w:rPr>
        <w:t xml:space="preserve">建议不在本15日固定范围内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原生Android或iOS</w:t>
      </w:r>
      <w:r>
        <w:t xml:space="preserve"> </w:t>
      </w:r>
      <w:r>
        <w:rPr>
          <w:rFonts w:hint="eastAsia"/>
        </w:rPr>
        <w:t xml:space="preserve">App；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正式微信小程序上架；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完整运营管理后台和供应商后台；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真实微信/支付宝/银联支付；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阿里权益全量生产接口；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70万至300万SKU的正式同步和运营；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财务分账、提现、授信及自动结算；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电子发票、税务和红冲；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完整营销、秒杀、抽奖、多级分销；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门店设备、语音播报和复杂核销；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等保测评、渗透测试和私有化部署；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正式客服坐席系统和7×24服务；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大规模压测、容灾和跨区域灾备。</w:t>
      </w:r>
    </w:p>
    <w:p>
      <w:pPr>
        <w:pStyle w:val="FirstParagraph"/>
      </w:pPr>
      <w:r>
        <w:rPr>
          <w:rFonts w:hint="eastAsia"/>
        </w:rPr>
        <w:t xml:space="preserve">上述内容可在资料齐备后另行估时、报价和签署变更单。</w:t>
      </w:r>
    </w:p>
    <w:bookmarkEnd w:id="28"/>
    <w:bookmarkEnd w:id="29"/>
    <w:bookmarkStart w:id="40" w:name="七必须由甲方确认的核心业务问题"/>
    <w:p>
      <w:pPr>
        <w:pStyle w:val="Heading2"/>
      </w:pPr>
      <w:r>
        <w:rPr>
          <w:rFonts w:hint="eastAsia"/>
        </w:rPr>
        <w:t xml:space="preserve">七、必须由甲方确认的核心业务问题</w:t>
      </w:r>
    </w:p>
    <w:bookmarkStart w:id="30" w:name="X73729e82e5c568c81d79ca7cf8aa10ae6c57b75"/>
    <w:p>
      <w:pPr>
        <w:pStyle w:val="Heading3"/>
      </w:pPr>
      <w:r>
        <w:t xml:space="preserve">7.1 </w:t>
      </w:r>
      <w:r>
        <w:rPr>
          <w:rFonts w:hint="eastAsia"/>
        </w:rPr>
        <w:t xml:space="preserve">业务层级</w:t>
      </w:r>
    </w:p>
    <w:p>
      <w:pPr>
        <w:pStyle w:val="FirstParagraph"/>
      </w:pPr>
      <w:r>
        <w:rPr>
          <w:rFonts w:hint="eastAsia"/>
        </w:rPr>
        <w:t xml:space="preserve">目前存在两种口径：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已沟通过的“四层”：平台</w:t>
      </w:r>
      <w:r>
        <w:t xml:space="preserve"> → </w:t>
      </w:r>
      <w:r>
        <w:rPr>
          <w:rFonts w:hint="eastAsia"/>
        </w:rPr>
        <w:t xml:space="preserve">集团</w:t>
      </w:r>
      <w:r>
        <w:t xml:space="preserve"> → </w:t>
      </w:r>
      <w:r>
        <w:rPr>
          <w:rFonts w:hint="eastAsia"/>
        </w:rPr>
        <w:t xml:space="preserve">商城</w:t>
      </w:r>
      <w:r>
        <w:t xml:space="preserve"> → </w:t>
      </w:r>
      <w:r>
        <w:rPr>
          <w:rFonts w:hint="eastAsia"/>
        </w:rPr>
        <w:t xml:space="preserve">员工；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问卷中出现的口径：平台</w:t>
      </w:r>
      <w:r>
        <w:t xml:space="preserve"> → </w:t>
      </w:r>
      <w:r>
        <w:rPr>
          <w:rFonts w:hint="eastAsia"/>
        </w:rPr>
        <w:t xml:space="preserve">分销商</w:t>
      </w:r>
      <w:r>
        <w:t xml:space="preserve"> → </w:t>
      </w:r>
      <w:r>
        <w:rPr>
          <w:rFonts w:hint="eastAsia"/>
        </w:rPr>
        <w:t xml:space="preserve">集团</w:t>
      </w:r>
      <w:r>
        <w:t xml:space="preserve"> → </w:t>
      </w:r>
      <w:r>
        <w:rPr>
          <w:rFonts w:hint="eastAsia"/>
        </w:rPr>
        <w:t xml:space="preserve">商城，并另有员工/会员层。</w:t>
      </w:r>
    </w:p>
    <w:p>
      <w:pPr>
        <w:pStyle w:val="FirstParagraph"/>
      </w:pPr>
      <w:r>
        <w:rPr>
          <w:rFonts w:hint="eastAsia"/>
        </w:rPr>
        <w:t xml:space="preserve">甲方请选择最终口径：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方案A：平台</w:t>
      </w:r>
      <w:r>
        <w:t xml:space="preserve"> → </w:t>
      </w:r>
      <w:r>
        <w:rPr>
          <w:rFonts w:hint="eastAsia"/>
        </w:rPr>
        <w:t xml:space="preserve">集团</w:t>
      </w:r>
      <w:r>
        <w:t xml:space="preserve"> → </w:t>
      </w:r>
      <w:r>
        <w:rPr>
          <w:rFonts w:hint="eastAsia"/>
        </w:rPr>
        <w:t xml:space="preserve">商城</w:t>
      </w:r>
      <w:r>
        <w:t xml:space="preserve"> → </w:t>
      </w:r>
      <w:r>
        <w:rPr>
          <w:rFonts w:hint="eastAsia"/>
        </w:rPr>
        <w:t xml:space="preserve">员工；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方案B：平台</w:t>
      </w:r>
      <w:r>
        <w:t xml:space="preserve"> → </w:t>
      </w:r>
      <w:r>
        <w:rPr>
          <w:rFonts w:hint="eastAsia"/>
        </w:rPr>
        <w:t xml:space="preserve">分销商</w:t>
      </w:r>
      <w:r>
        <w:t xml:space="preserve"> → </w:t>
      </w:r>
      <w:r>
        <w:rPr>
          <w:rFonts w:hint="eastAsia"/>
        </w:rPr>
        <w:t xml:space="preserve">集团</w:t>
      </w:r>
      <w:r>
        <w:t xml:space="preserve"> → </w:t>
      </w:r>
      <w:r>
        <w:rPr>
          <w:rFonts w:hint="eastAsia"/>
        </w:rPr>
        <w:t xml:space="preserve">商城</w:t>
      </w:r>
      <w:r>
        <w:t xml:space="preserve"> → </w:t>
      </w:r>
      <w:r>
        <w:rPr>
          <w:rFonts w:hint="eastAsia"/>
        </w:rPr>
        <w:t xml:space="preserve">员工；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其他：____________________________。</w:t>
      </w:r>
    </w:p>
    <w:p>
      <w:pPr>
        <w:pStyle w:val="FirstParagraph"/>
      </w:pPr>
      <w:r>
        <w:rPr>
          <w:rFonts w:hint="eastAsia"/>
        </w:rPr>
        <w:t xml:space="preserve">分销商是否属于独立租户、是否能跨集团查看数据、是否独立定价和结算：____________________________。</w:t>
      </w:r>
    </w:p>
    <w:bookmarkEnd w:id="30"/>
    <w:bookmarkStart w:id="31" w:name="Xde343e06099c396759a327658505ac1a5b73774"/>
    <w:p>
      <w:pPr>
        <w:pStyle w:val="Heading3"/>
      </w:pPr>
      <w:r>
        <w:t xml:space="preserve">7.2 </w:t>
      </w:r>
      <w:r>
        <w:rPr>
          <w:rFonts w:hint="eastAsia"/>
        </w:rPr>
        <w:t xml:space="preserve">使用终端</w:t>
      </w:r>
    </w:p>
    <w:p>
      <w:pPr>
        <w:pStyle w:val="Compact"/>
        <w:numPr>
          <w:ilvl w:val="0"/>
          <w:numId w:val="1012"/>
        </w:numPr>
      </w:pPr>
      <w:r>
        <w:t xml:space="preserve">PC </w:t>
      </w:r>
      <w:r>
        <w:rPr>
          <w:rFonts w:hint="eastAsia"/>
        </w:rPr>
        <w:t xml:space="preserve">Web：☐</w:t>
      </w:r>
      <w:r>
        <w:t xml:space="preserve"> </w:t>
      </w:r>
      <w:r>
        <w:rPr>
          <w:rFonts w:hint="eastAsia"/>
        </w:rPr>
        <w:t xml:space="preserve">本期需要</w:t>
      </w:r>
      <w:r>
        <w:t xml:space="preserve">　☐ </w:t>
      </w:r>
      <w:r>
        <w:rPr>
          <w:rFonts w:hint="eastAsia"/>
        </w:rPr>
        <w:t xml:space="preserve">不需要；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移动H5：☐</w:t>
      </w:r>
      <w:r>
        <w:t xml:space="preserve"> </w:t>
      </w:r>
      <w:r>
        <w:rPr>
          <w:rFonts w:hint="eastAsia"/>
        </w:rPr>
        <w:t xml:space="preserve">本期需要</w:t>
      </w:r>
      <w:r>
        <w:t xml:space="preserve">　☐ </w:t>
      </w:r>
      <w:r>
        <w:rPr>
          <w:rFonts w:hint="eastAsia"/>
        </w:rPr>
        <w:t xml:space="preserve">不需要；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微信小程序：☐</w:t>
      </w:r>
      <w:r>
        <w:t xml:space="preserve"> </w:t>
      </w:r>
      <w:r>
        <w:rPr>
          <w:rFonts w:hint="eastAsia"/>
        </w:rPr>
        <w:t xml:space="preserve">本期需要</w:t>
      </w:r>
      <w:r>
        <w:t xml:space="preserve">　☐ </w:t>
      </w:r>
      <w:r>
        <w:rPr>
          <w:rFonts w:hint="eastAsia"/>
        </w:rPr>
        <w:t xml:space="preserve">二期</w:t>
      </w:r>
      <w:r>
        <w:t xml:space="preserve">　☐ </w:t>
      </w:r>
      <w:r>
        <w:rPr>
          <w:rFonts w:hint="eastAsia"/>
        </w:rPr>
        <w:t xml:space="preserve">不需要；</w:t>
      </w:r>
    </w:p>
    <w:p>
      <w:pPr>
        <w:pStyle w:val="Compact"/>
        <w:numPr>
          <w:ilvl w:val="0"/>
          <w:numId w:val="1012"/>
        </w:numPr>
      </w:pPr>
      <w:r>
        <w:t xml:space="preserve">Android </w:t>
      </w:r>
      <w:r>
        <w:rPr>
          <w:rFonts w:hint="eastAsia"/>
        </w:rPr>
        <w:t xml:space="preserve">App：☐</w:t>
      </w:r>
      <w:r>
        <w:t xml:space="preserve"> </w:t>
      </w:r>
      <w:r>
        <w:rPr>
          <w:rFonts w:hint="eastAsia"/>
        </w:rPr>
        <w:t xml:space="preserve">本期需要</w:t>
      </w:r>
      <w:r>
        <w:t xml:space="preserve">　☐ </w:t>
      </w:r>
      <w:r>
        <w:rPr>
          <w:rFonts w:hint="eastAsia"/>
        </w:rPr>
        <w:t xml:space="preserve">二期</w:t>
      </w:r>
      <w:r>
        <w:t xml:space="preserve">　☐ </w:t>
      </w:r>
      <w:r>
        <w:rPr>
          <w:rFonts w:hint="eastAsia"/>
        </w:rPr>
        <w:t xml:space="preserve">不需要；</w:t>
      </w:r>
    </w:p>
    <w:p>
      <w:pPr>
        <w:pStyle w:val="Compact"/>
        <w:numPr>
          <w:ilvl w:val="0"/>
          <w:numId w:val="1012"/>
        </w:numPr>
      </w:pPr>
      <w:r>
        <w:t xml:space="preserve">iOS </w:t>
      </w:r>
      <w:r>
        <w:rPr>
          <w:rFonts w:hint="eastAsia"/>
        </w:rPr>
        <w:t xml:space="preserve">App：☐</w:t>
      </w:r>
      <w:r>
        <w:t xml:space="preserve"> </w:t>
      </w:r>
      <w:r>
        <w:rPr>
          <w:rFonts w:hint="eastAsia"/>
        </w:rPr>
        <w:t xml:space="preserve">本期需要</w:t>
      </w:r>
      <w:r>
        <w:t xml:space="preserve">　☐ </w:t>
      </w:r>
      <w:r>
        <w:rPr>
          <w:rFonts w:hint="eastAsia"/>
        </w:rPr>
        <w:t xml:space="preserve">二期</w:t>
      </w:r>
      <w:r>
        <w:t xml:space="preserve">　☐ </w:t>
      </w:r>
      <w:r>
        <w:rPr>
          <w:rFonts w:hint="eastAsia"/>
        </w:rPr>
        <w:t xml:space="preserve">不需要；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管理后台：☐</w:t>
      </w:r>
      <w:r>
        <w:t xml:space="preserve"> </w:t>
      </w:r>
      <w:r>
        <w:rPr>
          <w:rFonts w:hint="eastAsia"/>
        </w:rPr>
        <w:t xml:space="preserve">本期基础版</w:t>
      </w:r>
      <w:r>
        <w:t xml:space="preserve">　☐ </w:t>
      </w:r>
      <w:r>
        <w:rPr>
          <w:rFonts w:hint="eastAsia"/>
        </w:rPr>
        <w:t xml:space="preserve">正式V1</w:t>
      </w:r>
      <w:r>
        <w:t xml:space="preserve">　☐ </w:t>
      </w:r>
      <w:r>
        <w:rPr>
          <w:rFonts w:hint="eastAsia"/>
        </w:rPr>
        <w:t xml:space="preserve">二期；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供应商后台：☐</w:t>
      </w:r>
      <w:r>
        <w:t xml:space="preserve"> </w:t>
      </w:r>
      <w:r>
        <w:rPr>
          <w:rFonts w:hint="eastAsia"/>
        </w:rPr>
        <w:t xml:space="preserve">本期</w:t>
      </w:r>
      <w:r>
        <w:t xml:space="preserve">　☐ </w:t>
      </w:r>
      <w:r>
        <w:rPr>
          <w:rFonts w:hint="eastAsia"/>
        </w:rPr>
        <w:t xml:space="preserve">二期</w:t>
      </w:r>
      <w:r>
        <w:t xml:space="preserve">　☐ </w:t>
      </w:r>
      <w:r>
        <w:rPr>
          <w:rFonts w:hint="eastAsia"/>
        </w:rPr>
        <w:t xml:space="preserve">不需要。</w:t>
      </w:r>
    </w:p>
    <w:bookmarkEnd w:id="31"/>
    <w:bookmarkStart w:id="32" w:name="Xa190fa75c96199d549f3073be650ae09a071c99"/>
    <w:p>
      <w:pPr>
        <w:pStyle w:val="Heading3"/>
      </w:pPr>
      <w:r>
        <w:t xml:space="preserve">7.3 </w:t>
      </w:r>
      <w:r>
        <w:rPr>
          <w:rFonts w:hint="eastAsia"/>
        </w:rPr>
        <w:t xml:space="preserve">技术栈与交付边界</w:t>
      </w:r>
    </w:p>
    <w:p>
      <w:pPr>
        <w:pStyle w:val="FirstParagraph"/>
      </w:pPr>
      <w:r>
        <w:rPr>
          <w:rFonts w:hint="eastAsia"/>
        </w:rPr>
        <w:t xml:space="preserve">当前已实现：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前端：React</w:t>
      </w:r>
      <w:r>
        <w:t xml:space="preserve"> </w:t>
      </w:r>
      <w:r>
        <w:rPr>
          <w:rFonts w:hint="eastAsia"/>
        </w:rPr>
        <w:t xml:space="preserve">19、TypeScript、Vinext/Vite、Tailwind；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边缘API：Cloudflare</w:t>
      </w:r>
      <w:r>
        <w:t xml:space="preserve"> Worker </w:t>
      </w:r>
      <w:r>
        <w:rPr>
          <w:rFonts w:hint="eastAsia"/>
        </w:rPr>
        <w:t xml:space="preserve">TypeScript；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数据库：Supabase</w:t>
      </w:r>
      <w:r>
        <w:t xml:space="preserve"> PostgreSQL </w:t>
      </w:r>
      <w:r>
        <w:rPr>
          <w:rFonts w:hint="eastAsia"/>
        </w:rPr>
        <w:t xml:space="preserve">17，东京区域；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代码管理：GitHub私有仓库；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部署：Cloudflare/Sites。</w:t>
      </w:r>
    </w:p>
    <w:p>
      <w:pPr>
        <w:pStyle w:val="FirstParagraph"/>
      </w:pPr>
      <w:r>
        <w:rPr>
          <w:rFonts w:hint="eastAsia"/>
        </w:rPr>
        <w:t xml:space="preserve">Rust后端当前属于后续架构选项，尚未替代现有边缘API。甲方请选择：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接受当前TypeScript边缘API作为MVP；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正式V1新增Rust业务服务；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本期必须改为Rust，另行评估工期和费用。</w:t>
      </w:r>
    </w:p>
    <w:bookmarkEnd w:id="32"/>
    <w:bookmarkStart w:id="33" w:name="X1f418adfcb18ea8d564265679fb7d54687f9793"/>
    <w:p>
      <w:pPr>
        <w:pStyle w:val="Heading3"/>
      </w:pPr>
      <w:r>
        <w:t xml:space="preserve">7.4 </w:t>
      </w:r>
      <w:r>
        <w:rPr>
          <w:rFonts w:hint="eastAsia"/>
        </w:rPr>
        <w:t xml:space="preserve">数据地域与合规</w:t>
      </w:r>
    </w:p>
    <w:p>
      <w:pPr>
        <w:pStyle w:val="FirstParagraph"/>
      </w:pPr>
      <w:r>
        <w:rPr>
          <w:rFonts w:hint="eastAsia"/>
        </w:rPr>
        <w:t xml:space="preserve">当前数据库位于日本东京。甲方是否接受：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接受作为开发/测试环境；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接受作为正式环境，但需法务/合规确认；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正式环境必须迁移至中国大陆；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正式环境必须私有化部署；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其他：____________________________。</w:t>
      </w:r>
    </w:p>
    <w:p>
      <w:pPr>
        <w:pStyle w:val="FirstParagraph"/>
      </w:pPr>
      <w:r>
        <w:rPr>
          <w:rFonts w:hint="eastAsia"/>
        </w:rPr>
        <w:t xml:space="preserve">如涉及员工姓名、手机号、地址、身份证等个人信息，甲方应明确数据处理主体、隐私政策、授权机制、保存期限、导出权限及跨境数据要求。相关法律结论由甲方或双方指定的专业合规机构确认。</w:t>
      </w:r>
    </w:p>
    <w:bookmarkEnd w:id="33"/>
    <w:bookmarkStart w:id="34" w:name="Xe39e22a04353a361cccf9c6cf39ddeb2eb081c5"/>
    <w:p>
      <w:pPr>
        <w:pStyle w:val="Heading3"/>
      </w:pPr>
      <w:r>
        <w:t xml:space="preserve">7.5 </w:t>
      </w:r>
      <w:r>
        <w:rPr>
          <w:rFonts w:hint="eastAsia"/>
        </w:rPr>
        <w:t xml:space="preserve">身份认证</w:t>
      </w:r>
    </w:p>
    <w:p>
      <w:pPr>
        <w:pStyle w:val="FirstParagraph"/>
      </w:pPr>
      <w:r>
        <w:rPr>
          <w:rFonts w:hint="eastAsia"/>
        </w:rPr>
        <w:t xml:space="preserve">本期正式登录方式：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企业SSO；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企业微信；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微信授权；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手机验证码；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账号密码；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多种方式并存；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其他：____________________________。</w:t>
      </w:r>
    </w:p>
    <w:p>
      <w:pPr>
        <w:pStyle w:val="FirstParagraph"/>
      </w:pPr>
      <w:r>
        <w:rPr>
          <w:rFonts w:hint="eastAsia"/>
        </w:rPr>
        <w:t xml:space="preserve">甲方提供：身份提供方、协议、测试账号、回调地址要求、字段映射、员工离职处理规则。</w:t>
      </w:r>
    </w:p>
    <w:bookmarkEnd w:id="34"/>
    <w:bookmarkStart w:id="35" w:name="X9b6d2d2485ff4021a5978be48104f33c3d69855"/>
    <w:p>
      <w:pPr>
        <w:pStyle w:val="Heading3"/>
      </w:pPr>
      <w:r>
        <w:t xml:space="preserve">7.6 </w:t>
      </w:r>
      <w:r>
        <w:rPr>
          <w:rFonts w:hint="eastAsia"/>
        </w:rPr>
        <w:t xml:space="preserve">商品与供应商</w:t>
      </w:r>
    </w:p>
    <w:p>
      <w:pPr>
        <w:pStyle w:val="FirstParagraph"/>
      </w:pPr>
      <w:r>
        <w:rPr>
          <w:rFonts w:hint="eastAsia"/>
        </w:rPr>
        <w:t xml:space="preserve">优先接入的第一家供应商：____________________________。</w:t>
      </w:r>
    </w:p>
    <w:p>
      <w:pPr>
        <w:pStyle w:val="BodyText"/>
      </w:pPr>
      <w:r>
        <w:rPr>
          <w:rFonts w:hint="eastAsia"/>
        </w:rPr>
        <w:t xml:space="preserve">甲方/供应商需确认：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商品、SKU、图片和详情的获取方式；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成本价、市场价、活动价和最低售价；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实时库存还是定时同步；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地区限售、员工限购和渠道限制；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商品下架后的历史订单处理；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供应商接单、失败重试和人工补偿；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实物、虚拟券、本地生活服务的差异化流程。</w:t>
      </w:r>
    </w:p>
    <w:bookmarkEnd w:id="35"/>
    <w:bookmarkStart w:id="36" w:name="Xf5bc8feb0f58b6751ec96266f13228f826db59f"/>
    <w:p>
      <w:pPr>
        <w:pStyle w:val="Heading3"/>
      </w:pPr>
      <w:r>
        <w:t xml:space="preserve">7.7 </w:t>
      </w:r>
      <w:r>
        <w:rPr>
          <w:rFonts w:hint="eastAsia"/>
        </w:rPr>
        <w:t xml:space="preserve">订单和售后</w:t>
      </w:r>
    </w:p>
    <w:p>
      <w:pPr>
        <w:pStyle w:val="FirstParagraph"/>
      </w:pPr>
      <w:r>
        <w:rPr>
          <w:rFonts w:hint="eastAsia"/>
        </w:rPr>
        <w:t xml:space="preserve">问卷已有倾向性结论，需甲方最终确认：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多供应商订单需要拆单；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待支付订单48小时关闭；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待支付状态允许取消；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支持部分发货、部分退款；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用户确认收货，7日自动确认；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售后提供图片/视频和文字；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商城初审、供应商复审；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退款原则上原路退回；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售后期限以具体渠道规则为准。</w:t>
      </w:r>
    </w:p>
    <w:p>
      <w:pPr>
        <w:pStyle w:val="FirstParagraph"/>
      </w:pPr>
      <w:r>
        <w:rPr>
          <w:rFonts w:hint="eastAsia"/>
        </w:rPr>
        <w:t xml:space="preserve">销售主体、履约主体、客服主体和售后损失承担方必须明确：____________________________。</w:t>
      </w:r>
    </w:p>
    <w:bookmarkEnd w:id="36"/>
    <w:bookmarkStart w:id="37" w:name="X0eb005d6d0f0dc42e0a77e982583a1de3ca9d14"/>
    <w:p>
      <w:pPr>
        <w:pStyle w:val="Heading3"/>
      </w:pPr>
      <w:r>
        <w:t xml:space="preserve">7.8 </w:t>
      </w:r>
      <w:r>
        <w:rPr>
          <w:rFonts w:hint="eastAsia"/>
        </w:rPr>
        <w:t xml:space="preserve">账户、支付和资金</w:t>
      </w:r>
    </w:p>
    <w:p>
      <w:pPr>
        <w:pStyle w:val="FirstParagraph"/>
      </w:pPr>
      <w:r>
        <w:rPr>
          <w:rFonts w:hint="eastAsia"/>
        </w:rPr>
        <w:t xml:space="preserve">问卷中将福利余额定义为“虚拟记账额度”，并提出现金账户、福利预算、餐卡账户和授信账户。甲方需进一步确认：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是否存在真实资金沉淀；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充值资金进入谁的银行/支付账户；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是否允许提现、授信、欠款或后台调账；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余额不足能否混合微信/支付宝支付；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调账、充值、退款是否需要审批；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支付手续费由谁承担；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每日对账责任人及差异处理时限；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退款到原渠道还是福利账户；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管理员是否允许直接修改余额。</w:t>
      </w:r>
    </w:p>
    <w:p>
      <w:pPr>
        <w:pStyle w:val="FirstParagraph"/>
      </w:pPr>
      <w:r>
        <w:rPr>
          <w:rFonts w:hint="eastAsia"/>
        </w:rPr>
        <w:t xml:space="preserve">在资金主体、商户号和结算规则未确认前，系统仅开放测试记账能力。</w:t>
      </w:r>
    </w:p>
    <w:bookmarkEnd w:id="37"/>
    <w:bookmarkStart w:id="38" w:name="X3fa1b325aa19f89acd059536c8ca2743ce9f335"/>
    <w:p>
      <w:pPr>
        <w:pStyle w:val="Heading3"/>
      </w:pPr>
      <w:r>
        <w:t xml:space="preserve">7.9 </w:t>
      </w:r>
      <w:r>
        <w:rPr>
          <w:rFonts w:hint="eastAsia"/>
        </w:rPr>
        <w:t xml:space="preserve">定价、利润与结算</w:t>
      </w:r>
    </w:p>
    <w:p>
      <w:pPr>
        <w:pStyle w:val="FirstParagraph"/>
      </w:pPr>
      <w:r>
        <w:rPr>
          <w:rFonts w:hint="eastAsia"/>
        </w:rPr>
        <w:t xml:space="preserve">问卷倾向支持平台、分销商、集团、商城多级加价，并同时支持固定金额和百分比。甲方必须确认：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每一级是否都有独立加价权；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最低售价、最低利润率及倒挂处理；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成本上涨后的下架、提醒和重新审核规则；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运费、优惠、退款和售后损失承担；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结算依据、周期、锁账和冲账；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发票开具主体、税率、普票/专票及红冲；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各角色可见的成本价、利润和结算数据。</w:t>
      </w:r>
    </w:p>
    <w:bookmarkEnd w:id="38"/>
    <w:bookmarkStart w:id="39" w:name="Xde7a3a33811523b508ace7fdd5d64071644d3f9"/>
    <w:p>
      <w:pPr>
        <w:pStyle w:val="Heading3"/>
      </w:pPr>
      <w:r>
        <w:t xml:space="preserve">7.10 </w:t>
      </w:r>
      <w:r>
        <w:rPr>
          <w:rFonts w:hint="eastAsia"/>
        </w:rPr>
        <w:t xml:space="preserve">客服制度</w:t>
      </w:r>
    </w:p>
    <w:p>
      <w:pPr>
        <w:pStyle w:val="FirstParagraph"/>
      </w:pPr>
      <w:r>
        <w:rPr>
          <w:rFonts w:hint="eastAsia"/>
        </w:rPr>
        <w:t xml:space="preserve">甲方需确认：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客服主体：平台/集团/商城/供应商；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服务时间：工作日/7×12/7×24；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咨询、投诉、售后、退款失败的责任人；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首次响应时间和处理时限；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P1/P2/P3/P4问题分级；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升级路径和紧急联系人；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工单留存时间和敏感信息查看权限；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非系统故障、第三方故障和供应商履约问题的归责。</w:t>
      </w:r>
    </w:p>
    <w:bookmarkEnd w:id="39"/>
    <w:bookmarkEnd w:id="40"/>
    <w:bookmarkStart w:id="41" w:name="八第三方接口资料清单"/>
    <w:p>
      <w:pPr>
        <w:pStyle w:val="Heading2"/>
      </w:pPr>
      <w:r>
        <w:rPr>
          <w:rFonts w:hint="eastAsia"/>
        </w:rPr>
        <w:t xml:space="preserve">八、第三方接口资料清单</w:t>
      </w:r>
    </w:p>
    <w:p>
      <w:pPr>
        <w:pStyle w:val="FirstParagraph"/>
      </w:pPr>
      <w:r>
        <w:rPr>
          <w:rFonts w:hint="eastAsia"/>
        </w:rPr>
        <w:t xml:space="preserve">每一家第三方均需提供：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是否已提供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正式接口文档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测试环境及测试账号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生产环境开通流程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AppKey、证书或签名方式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不得通过普通群聊长期传递密钥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IP白名单要求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调用频率和限流规则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商品、价格、库存同步规则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订单创建、取消、查询接口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发货、物流和虚拟发码回调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退款、售后和对账接口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回调验签及重试机制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错误码及人工处理联系人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SLA及接口升级通知机制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图片、商标和商品内容授权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优先对接顺序由甲方填写：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____________________________；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____________________________；</w:t>
      </w:r>
    </w:p>
    <w:p>
      <w:pPr>
        <w:pStyle w:val="Compact"/>
        <w:numPr>
          <w:ilvl w:val="0"/>
          <w:numId w:val="1034"/>
        </w:numPr>
      </w:pPr>
      <w:r>
        <w:t xml:space="preserve">____________________________。</w:t>
      </w:r>
    </w:p>
    <w:bookmarkEnd w:id="41"/>
    <w:bookmarkStart w:id="42" w:name="九甲方需提供的资料"/>
    <w:p>
      <w:pPr>
        <w:pStyle w:val="Heading2"/>
      </w:pPr>
      <w:r>
        <w:rPr>
          <w:rFonts w:hint="eastAsia"/>
        </w:rPr>
        <w:t xml:space="preserve">九、甲方需提供的资料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营业主体、商城运营主体及合同主体；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正式商城名称、Logo、品牌色、客服电话和客服邮箱；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域名所有权、备案主体和证书责任；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集团、商城、部门、员工示例数据；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商品分类、SKU、价格、库存和供应商示例；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身份认证方案及测试账号；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支付商户资料及证书；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供应商接口文档及测试环境；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物流、短信、邮件、企业微信等通道资料；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财务、对账、结算、发票和退款规则；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售后、客服、工单和应急联系人制度；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隐私政策、用户协议及合规要求；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验收负责人、需求负责人、接口负责人和财务负责人。</w:t>
      </w:r>
    </w:p>
    <w:bookmarkEnd w:id="42"/>
    <w:bookmarkStart w:id="43" w:name="十验收建议"/>
    <w:p>
      <w:pPr>
        <w:pStyle w:val="Heading2"/>
      </w:pPr>
      <w:r>
        <w:rPr>
          <w:rFonts w:hint="eastAsia"/>
        </w:rPr>
        <w:t xml:space="preserve">十、验收建议</w:t>
      </w:r>
    </w:p>
    <w:p>
      <w:pPr>
        <w:pStyle w:val="FirstParagraph"/>
      </w:pPr>
      <w:r>
        <w:rPr>
          <w:rFonts w:hint="eastAsia"/>
        </w:rPr>
        <w:t xml:space="preserve">阶段验收以以下内容为准：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双方确认的P0功能清单；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双方确认的页面原型和业务流程；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本文件中的阶段成果；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已提供资料范围内能够完成的接口联调；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双方确认的测试用例；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已知限制和待办清单；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阶段交付演示及书面验收记录。</w:t>
      </w:r>
    </w:p>
    <w:p>
      <w:pPr>
        <w:pStyle w:val="FirstParagraph"/>
      </w:pPr>
      <w:r>
        <w:rPr>
          <w:rFonts w:hint="eastAsia"/>
        </w:rPr>
        <w:t xml:space="preserve">不建议以“参考京东、美团、驿宝通”作为无限范围验收标准。参考产品只用于设计方向，具体功能必须进入书面功能清单。</w:t>
      </w:r>
    </w:p>
    <w:p>
      <w:pPr>
        <w:pStyle w:val="BodyText"/>
      </w:pPr>
      <w:r>
        <w:rPr>
          <w:rFonts w:hint="eastAsia"/>
        </w:rPr>
        <w:t xml:space="preserve">甲方应在收到预验收版本后____个工作日内集中反馈；逾期未反馈的处理方式：____________________________。</w:t>
      </w:r>
    </w:p>
    <w:p>
      <w:pPr>
        <w:pStyle w:val="BodyText"/>
      </w:pPr>
      <w:r>
        <w:rPr>
          <w:rFonts w:hint="eastAsia"/>
        </w:rPr>
        <w:t xml:space="preserve">缺陷建议分级：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P1：核心流程无法使用、数据错误、资金或越权风险；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P2：主要功能异常但存在替代方案；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P3：一般交互、兼容或展示问题；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P4：优化建议和新增需求。</w:t>
      </w:r>
    </w:p>
    <w:p>
      <w:pPr>
        <w:pStyle w:val="FirstParagraph"/>
      </w:pPr>
      <w:r>
        <w:rPr>
          <w:rFonts w:hint="eastAsia"/>
        </w:rPr>
        <w:t xml:space="preserve">新增页面、新角色、新终端、新接口、新审批链、新财务规则或原范围外流程，应通过变更单评估工期和费用。</w:t>
      </w:r>
    </w:p>
    <w:bookmarkEnd w:id="43"/>
    <w:bookmarkStart w:id="44" w:name="十一费用与付款节点建议"/>
    <w:p>
      <w:pPr>
        <w:pStyle w:val="Heading2"/>
      </w:pPr>
      <w:r>
        <w:rPr>
          <w:rFonts w:hint="eastAsia"/>
        </w:rPr>
        <w:t xml:space="preserve">十一、费用与付款节点建议</w:t>
      </w:r>
    </w:p>
    <w:p>
      <w:pPr>
        <w:pStyle w:val="FirstParagraph"/>
      </w:pPr>
      <w:r>
        <w:rPr>
          <w:rFonts w:hint="eastAsia"/>
        </w:rPr>
        <w:t xml:space="preserve">已有全量方案中的参考报价：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受控生产型MVP：建议含税报价52.8万元；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目标成交区间：48.8—52.8万元；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低于42.8万元时应书面缩减范围；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标准正式V1：98—138万元；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完整多租户平台：180—320万元。</w:t>
      </w:r>
    </w:p>
    <w:p>
      <w:pPr>
        <w:pStyle w:val="FirstParagraph"/>
      </w:pPr>
      <w:r>
        <w:rPr>
          <w:rFonts w:hint="eastAsia"/>
        </w:rPr>
        <w:t xml:space="preserve">具体金额以正式合同和双方确认范围为准。建议采用阶段付款：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合同及需求启动款；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原型与技术底座确认款；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15日阶段版本交付款；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正式接口联调与验收款；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上线质保尾款。</w:t>
      </w:r>
    </w:p>
    <w:p>
      <w:pPr>
        <w:pStyle w:val="FirstParagraph"/>
      </w:pPr>
      <w:r>
        <w:rPr>
          <w:rFonts w:hint="eastAsia"/>
        </w:rPr>
        <w:t xml:space="preserve">第三方接口费、短信费、支付手续费、云资源费、证书、备案、等保、渗透测试、供应商授权和驻场服务，除非合同明确包含，否则应单独承担或据实结算。</w:t>
      </w:r>
    </w:p>
    <w:bookmarkEnd w:id="44"/>
    <w:bookmarkStart w:id="48" w:name="十二双方责任与风险"/>
    <w:p>
      <w:pPr>
        <w:pStyle w:val="Heading2"/>
      </w:pPr>
      <w:r>
        <w:rPr>
          <w:rFonts w:hint="eastAsia"/>
        </w:rPr>
        <w:t xml:space="preserve">十二、双方责任与风险</w:t>
      </w:r>
    </w:p>
    <w:bookmarkStart w:id="45" w:name="甲方责任"/>
    <w:p>
      <w:pPr>
        <w:pStyle w:val="Heading3"/>
      </w:pPr>
      <w:r>
        <w:rPr>
          <w:rFonts w:hint="eastAsia"/>
        </w:rPr>
        <w:t xml:space="preserve">甲方责任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按时确认需求和原型；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提供真实、合法、可测试的数据和资质；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协调供应商、支付、认证和运营主体；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确认财务、客服、合规和验收口径；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在约定时限内集中反馈并完成阶段付款。</w:t>
      </w:r>
    </w:p>
    <w:bookmarkEnd w:id="45"/>
    <w:bookmarkStart w:id="46" w:name="乙方责任"/>
    <w:p>
      <w:pPr>
        <w:pStyle w:val="Heading3"/>
      </w:pPr>
      <w:r>
        <w:rPr>
          <w:rFonts w:hint="eastAsia"/>
        </w:rPr>
        <w:t xml:space="preserve">乙方责任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按确认范围实施开发；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对代码、配置和密钥采取合理安全措施；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提供阶段版本、技术说明和测试记录；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如实说明已完成、待确认和第三方依赖；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对确认范围内缺陷进行修复。</w:t>
      </w:r>
    </w:p>
    <w:bookmarkEnd w:id="46"/>
    <w:bookmarkStart w:id="47" w:name="共同风险"/>
    <w:p>
      <w:pPr>
        <w:pStyle w:val="Heading3"/>
      </w:pPr>
      <w:r>
        <w:rPr>
          <w:rFonts w:hint="eastAsia"/>
        </w:rPr>
        <w:t xml:space="preserve">共同风险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第三方接口、资质或生产账号延期；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业务层级和资金主体未确定；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需求持续变化；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正式数据地域和合规要求变化；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供应商价格、库存、履约和售后政策变化；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项目规模超出当前数据库、云资源或预算。</w:t>
      </w:r>
    </w:p>
    <w:bookmarkEnd w:id="47"/>
    <w:bookmarkEnd w:id="48"/>
    <w:bookmarkStart w:id="49" w:name="十三待确认事项汇总"/>
    <w:p>
      <w:pPr>
        <w:pStyle w:val="Heading2"/>
      </w:pPr>
      <w:r>
        <w:rPr>
          <w:rFonts w:hint="eastAsia"/>
        </w:rPr>
        <w:t xml:space="preserve">十三、待确认事项汇总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待确认事项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甲方结论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最终业务层级是否包含分销商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第一期终端：PC/H5/小程序/App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MVP是否接受TypeScript边缘API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Rust后端是否列入本期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东京数据库是否仅用于测试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正式身份认证方式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第一家供应商及接口资料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销售、履约、客服、售后主体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福利账户是否涉及真实资金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支付商户号及结算主体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多级加价、利润和倒挂规则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结算、发票和财务对账规则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客服SLA和工单制度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正式域名、备案和运营主体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数据保存、隐私和安全要求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阶段验收和付款节点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9"/>
    <w:bookmarkStart w:id="50" w:name="十四确认页"/>
    <w:p>
      <w:pPr>
        <w:pStyle w:val="Heading2"/>
      </w:pPr>
      <w:r>
        <w:rPr>
          <w:rFonts w:hint="eastAsia"/>
        </w:rPr>
        <w:t xml:space="preserve">十四、确认页</w:t>
      </w:r>
    </w:p>
    <w:p>
      <w:pPr>
        <w:pStyle w:val="FirstParagraph"/>
      </w:pPr>
      <w:r>
        <w:rPr>
          <w:rFonts w:hint="eastAsia"/>
        </w:rPr>
        <w:t xml:space="preserve">甲方项目名称：____________________________</w:t>
      </w:r>
      <w:r>
        <w:br/>
      </w:r>
      <w:r>
        <w:rPr>
          <w:rFonts w:hint="eastAsia"/>
        </w:rPr>
        <w:t xml:space="preserve">甲方公司名称：____________________________</w:t>
      </w:r>
      <w:r>
        <w:br/>
      </w:r>
      <w:r>
        <w:rPr>
          <w:rFonts w:hint="eastAsia"/>
        </w:rPr>
        <w:t xml:space="preserve">甲方项目负责人：__________________________</w:t>
      </w:r>
      <w:r>
        <w:br/>
      </w:r>
      <w:r>
        <w:rPr>
          <w:rFonts w:hint="eastAsia"/>
        </w:rPr>
        <w:t xml:space="preserve">甲方需求确认人：__________________________</w:t>
      </w:r>
      <w:r>
        <w:br/>
      </w:r>
      <w:r>
        <w:rPr>
          <w:rFonts w:hint="eastAsia"/>
        </w:rPr>
        <w:t xml:space="preserve">甲方接口负责人：__________________________</w:t>
      </w:r>
      <w:r>
        <w:br/>
      </w:r>
      <w:r>
        <w:rPr>
          <w:rFonts w:hint="eastAsia"/>
        </w:rPr>
        <w:t xml:space="preserve">甲方财务规则确认人：______________________</w:t>
      </w:r>
      <w:r>
        <w:br/>
      </w:r>
      <w:r>
        <w:rPr>
          <w:rFonts w:hint="eastAsia"/>
        </w:rPr>
        <w:t xml:space="preserve">乙方项目负责人：__________________________</w:t>
      </w:r>
    </w:p>
    <w:p>
      <w:pPr>
        <w:pStyle w:val="BodyText"/>
      </w:pPr>
      <w:r>
        <w:rPr>
          <w:rFonts w:hint="eastAsia"/>
        </w:rPr>
        <w:t xml:space="preserve">MVP范围：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已确认；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有待定项，以本文件第十三章为准；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需要再次评审。</w:t>
      </w:r>
    </w:p>
    <w:p>
      <w:pPr>
        <w:pStyle w:val="FirstParagraph"/>
      </w:pPr>
      <w:r>
        <w:rPr>
          <w:rFonts w:hint="eastAsia"/>
        </w:rPr>
        <w:t xml:space="preserve">15日阶段计划：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同意；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调整为：____________________________。</w:t>
      </w:r>
    </w:p>
    <w:p>
      <w:pPr>
        <w:pStyle w:val="FirstParagraph"/>
      </w:pPr>
      <w:r>
        <w:rPr>
          <w:rFonts w:hint="eastAsia"/>
        </w:rPr>
        <w:t xml:space="preserve">阶段验收及付款节点：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同意按合同及本确认书执行；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需补充：____________________________。</w:t>
      </w:r>
    </w:p>
    <w:p>
      <w:pPr>
        <w:pStyle w:val="FirstParagraph"/>
      </w:pPr>
      <w:r>
        <w:rPr>
          <w:rFonts w:hint="eastAsia"/>
        </w:rPr>
        <w:t xml:space="preserve">甲方签字/盖章：__________________________</w:t>
      </w:r>
      <w:r>
        <w:br/>
      </w:r>
      <w:r>
        <w:rPr>
          <w:rFonts w:hint="eastAsia"/>
        </w:rPr>
        <w:t xml:space="preserve">乙方签字/盖章：__________________________</w:t>
      </w:r>
      <w:r>
        <w:br/>
      </w:r>
      <w:r>
        <w:rPr>
          <w:rFonts w:hint="eastAsia"/>
        </w:rPr>
        <w:t xml:space="preserve">确认日期：________年____月____日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备注：本文件用于项目沟通、范围核对和阶段验收，不替代正式合同。涉及法律、税务、支付、个人信息保护、数据跨境及行业资质的事项，应由相应专业人员审核。</w:t>
      </w:r>
    </w:p>
    <w:bookmarkEnd w:id="50"/>
    <w:bookmarkEnd w:id="51"/>
    <w:sectPr w:rsidR="00FC693F" w:rsidRPr="0006063C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67085"/>
        <w:sz w:val="16"/>
      </w:rPr>
      <w:t xml:space="preserve">雍彻科技（YONGCHE TECH）  ·  内部评审/甲方沟通稿  ·  </w:t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 w:val="0"/>
        <w:color w:val="667085"/>
        <w:sz w:val="17"/>
      </w:rPr>
      <w:t>智慧翼企业福利商城｜全量技术方案与报价评估报告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">
    <w:nsid w:val="000003F1"/>
    <w:multiLevelType w:val="singleLevel"/>
    <w:lvl w:ilvl="0">
      <w:start w:val="1"/>
      <w:numFmt w:val="bullet"/>
      <w:lvlText w:val="•"/>
      <w:pPr>
        <w:ind w:hanging="280" w:left="540"/>
      </w:pPr>
    </w:lvl>
  </w:abstractNum>
  <w:abstractNum w:abstractNumId="10">
    <w:nsid w:val="000003F2"/>
    <w:multiLevelType w:val="singleLevel"/>
    <w:lvl w:ilvl="0">
      <w:start w:val="1"/>
      <w:numFmt w:val="bullet"/>
      <w:lvlText w:val="•"/>
      <w:pPr>
        <w:ind w:hanging="280" w:left="540"/>
      </w:pPr>
    </w:lvl>
  </w:abstractNum>
  <w:abstractNum w:abstractNumId="11">
    <w:nsid w:val="000003F3"/>
    <w:multiLevelType w:val="singleLevel"/>
    <w:lvl w:ilvl="0">
      <w:start w:val="1"/>
      <w:numFmt w:val="decimal"/>
      <w:lvlText w:val="%1."/>
      <w:lvlJc w:val="left"/>
      <w:pPr>
        <w:tabs>
          <w:tab w:pos="540" w:val="num"/>
        </w:tabs>
        <w:ind w:hanging="280" w:left="540"/>
      </w:pPr>
    </w:lvl>
  </w:abstractNum>
  <w:abstractNum w:abstractNumId="12">
    <w:nsid w:val="000003F4"/>
    <w:multiLevelType w:val="singleLevel"/>
    <w:lvl w:ilvl="0">
      <w:start w:val="1"/>
      <w:numFmt w:val="bullet"/>
      <w:lvlText w:val="•"/>
      <w:pPr>
        <w:ind w:hanging="280" w:left="540"/>
      </w:pPr>
    </w:lvl>
  </w:abstractNum>
  <w:abstractNum w:abstractNumId="13">
    <w:nsid w:val="000003F5"/>
    <w:multiLevelType w:val="singleLevel"/>
    <w:lvl w:ilvl="0">
      <w:start w:val="1"/>
      <w:numFmt w:val="decimal"/>
      <w:lvlText w:val="%1."/>
      <w:lvlJc w:val="left"/>
      <w:pPr>
        <w:tabs>
          <w:tab w:pos="540" w:val="num"/>
        </w:tabs>
        <w:ind w:hanging="280" w:left="540"/>
      </w:pPr>
    </w:lvl>
  </w:abstractNum>
  <w:abstractNum w:abstractNumId="14">
    <w:nsid w:val="000003F6"/>
    <w:multiLevelType w:val="singleLevel"/>
    <w:lvl w:ilvl="0">
      <w:start w:val="1"/>
      <w:numFmt w:val="bullet"/>
      <w:lvlText w:val="•"/>
      <w:pPr>
        <w:ind w:hanging="280" w:left="540"/>
      </w:pPr>
    </w:lvl>
  </w:abstractNum>
  <w:abstractNum w:abstractNumId="15">
    <w:nsid w:val="000003F7"/>
    <w:multiLevelType w:val="singleLevel"/>
    <w:lvl w:ilvl="0">
      <w:start w:val="1"/>
      <w:numFmt w:val="bullet"/>
      <w:lvlText w:val="•"/>
      <w:pPr>
        <w:ind w:hanging="280" w:left="540"/>
      </w:pPr>
    </w:lvl>
  </w:abstractNum>
  <w:abstractNum w:abstractNumId="16">
    <w:nsid w:val="000003F8"/>
    <w:multiLevelType w:val="singleLevel"/>
    <w:lvl w:ilvl="0">
      <w:start w:val="1"/>
      <w:numFmt w:val="bullet"/>
      <w:lvlText w:val="•"/>
      <w:pPr>
        <w:ind w:hanging="280" w:left="540"/>
      </w:pPr>
    </w:lvl>
  </w:abstractNum>
  <w:abstractNum w:abstractNumId="17">
    <w:nsid w:val="000003F9"/>
    <w:multiLevelType w:val="singleLevel"/>
    <w:lvl w:ilvl="0">
      <w:start w:val="1"/>
      <w:numFmt w:val="bullet"/>
      <w:lvlText w:val="•"/>
      <w:pPr>
        <w:ind w:hanging="280" w:left="5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  <w:lvlOverride w:ilvl="0">
      <w:startOverride w:val="1"/>
    </w:lvlOverride>
  </w:num>
  <w:num w:numId="13">
    <w:abstractNumId w:val="12"/>
  </w:num>
  <w:num w:numId="14">
    <w:abstractNumId w:val="13"/>
    <w:lvlOverride w:ilvl="0">
      <w:startOverride w:val="1"/>
    </w:lvlOverride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00" w:lineRule="auto"/>
    </w:pPr>
    <w:rPr>
      <w:rFonts w:ascii="Calibri" w:eastAsia="Microsoft YaHei" w:hAnsi="Calibri"/>
      <w:color w:val="1F2937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/>
      <w:outlineLvl w:val="0"/>
    </w:pPr>
    <w:rPr>
      <w:rFonts w:ascii="Calibri" w:asciiTheme="majorHAnsi" w:cstheme="majorBidi" w:eastAsia="Microsoft YaHei" w:eastAsiaTheme="majorEastAsia" w:hAnsi="Calibri" w:hAnsiTheme="majorHAnsi"/>
      <w:b/>
      <w:bCs/>
      <w:color w:val="143A8F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40" w:before="280"/>
      <w:outlineLvl w:val="1"/>
    </w:pPr>
    <w:rPr>
      <w:rFonts w:ascii="Calibri" w:asciiTheme="majorHAnsi" w:cstheme="majorBidi" w:eastAsia="Microsoft YaHei" w:eastAsiaTheme="majorEastAsia" w:hAnsi="Calibri" w:hAnsiTheme="majorHAnsi"/>
      <w:b/>
      <w:bCs/>
      <w:color w:val="1F5EFF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00"/>
      <w:outlineLvl w:val="2"/>
    </w:pPr>
    <w:rPr>
      <w:rFonts w:ascii="Calibri" w:asciiTheme="majorHAnsi" w:cstheme="majorBidi" w:eastAsia="Microsoft YaHei" w:eastAsiaTheme="majorEastAsia" w:hAnsi="Calibri" w:hAnsiTheme="majorHAnsi"/>
      <w:b/>
      <w:bCs/>
      <w:color w:val="143A8F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hanging="271" w:left="540"/>
      <w:contextualSpacing/>
    </w:pPr>
    <w:rPr>
      <w:rFonts w:ascii="Calibri" w:eastAsia="Microsoft YaHei" w:hAnsi="Calibri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hanging="271" w:left="540"/>
      <w:contextualSpacing/>
    </w:pPr>
    <w:rPr>
      <w:rFonts w:ascii="Calibri" w:eastAsia="Microsoft YaHei" w:hAnsi="Calibri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2026-07-24T06:49:49Z</dcterms:created>
  <dcterms:modified xsi:type="dcterms:W3CDTF">2026-07-24T06:49:49Z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