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left"/>
      </w:pPr>
      <w:r>
        <w:rPr>
          <w:rFonts w:ascii="Arial" w:cs="Arial" w:eastAsia="Arial" w:hAnsi="Arial"/>
          <w:b/>
          <w:bCs/>
          <w:color w:val="E8521E"/>
          <w:sz w:val="24"/>
          <w:szCs w:val="24"/>
        </w:rPr>
        <w:t xml:space="preserve">PRODUCT REQUIREMENTS &amp; TECHNICAL BRIEF</w:t>
      </w:r>
    </w:p>
    <w:p>
      <w:pPr>
        <w:spacing w:after="0" w:before="120"/>
      </w:pPr>
      <w:r>
        <w:rPr>
          <w:rFonts w:ascii="Arial" w:cs="Arial" w:eastAsia="Arial" w:hAnsi="Arial"/>
          <w:b/>
          <w:bCs/>
          <w:color w:val="1B2A4A"/>
          <w:sz w:val="64"/>
          <w:szCs w:val="64"/>
        </w:rPr>
        <w:t xml:space="preserve">Hybrid Athlete Training &amp; Nutrition App</w:t>
      </w:r>
    </w:p>
    <w:p>
      <w:pPr>
        <w:spacing w:after="0" w:before="160"/>
      </w:pPr>
      <w:r>
        <w:rPr>
          <w:rFonts w:ascii="Arial" w:cs="Arial" w:eastAsia="Arial" w:hAnsi="Arial"/>
          <w:color w:val="555555"/>
          <w:sz w:val="30"/>
          <w:szCs w:val="30"/>
        </w:rPr>
        <w:t xml:space="preserve">A unified log + load + fueling tracker built for HYROX and tactical athletes</w:t>
      </w:r>
    </w:p>
    <w:p>
      <w:pPr>
        <w:pBdr>
          <w:bottom w:val="single" w:color="E8521E" w:sz="12" w:space="8"/>
        </w:pBdr>
        <w:spacing w:after="300" w:before="300"/>
      </w:pPr>
      <w:r>
        <w:t xml:space="preserve"/>
      </w:r>
    </w:p>
    <w:p>
      <w:pPr>
        <w:spacing w:after="0"/>
      </w:pPr>
      <w:r>
        <w:rPr>
          <w:b/>
          <w:bCs/>
          <w:color w:val="1B2A4A"/>
          <w:sz w:val="22"/>
          <w:szCs w:val="22"/>
        </w:rPr>
        <w:t xml:space="preserve">Working title: </w:t>
      </w:r>
      <w:r>
        <w:rPr>
          <w:color w:val="555555"/>
          <w:sz w:val="22"/>
          <w:szCs w:val="22"/>
        </w:rPr>
        <w:t xml:space="preserve">CONCURRENT  (placeholder)</w:t>
      </w:r>
    </w:p>
    <w:p>
      <w:pPr>
        <w:spacing w:after="0"/>
      </w:pPr>
      <w:r>
        <w:rPr>
          <w:b/>
          <w:bCs/>
          <w:color w:val="1B2A4A"/>
          <w:sz w:val="22"/>
          <w:szCs w:val="22"/>
        </w:rPr>
        <w:t xml:space="preserve">Prepared for: </w:t>
      </w:r>
      <w:r>
        <w:rPr>
          <w:color w:val="555555"/>
          <w:sz w:val="22"/>
          <w:szCs w:val="22"/>
        </w:rPr>
        <w:t xml:space="preserve">Ethan Brockman / UnderCloud</w:t>
      </w:r>
    </w:p>
    <w:p>
      <w:pPr>
        <w:spacing w:after="0"/>
      </w:pPr>
      <w:r>
        <w:rPr>
          <w:b/>
          <w:bCs/>
          <w:color w:val="1B2A4A"/>
          <w:sz w:val="22"/>
          <w:szCs w:val="22"/>
        </w:rPr>
        <w:t xml:space="preserve">Stage: </w:t>
      </w:r>
      <w:r>
        <w:rPr>
          <w:color w:val="555555"/>
          <w:sz w:val="22"/>
          <w:szCs w:val="22"/>
        </w:rPr>
        <w:t xml:space="preserve">Design / Architecture</w:t>
      </w:r>
    </w:p>
    <w:p>
      <w:pPr>
        <w:spacing w:after="0"/>
      </w:pPr>
      <w:r>
        <w:rPr>
          <w:b/>
          <w:bCs/>
          <w:color w:val="1B2A4A"/>
          <w:sz w:val="22"/>
          <w:szCs w:val="22"/>
        </w:rPr>
        <w:t xml:space="preserve">Date: </w:t>
      </w:r>
      <w:r>
        <w:rPr>
          <w:color w:val="555555"/>
          <w:sz w:val="22"/>
          <w:szCs w:val="22"/>
        </w:rPr>
        <w:t xml:space="preserve">June 2026</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Summary</w:t>
      </w:r>
    </w:p>
    <w:p>
      <w:pPr>
        <w:spacing w:after="120" w:line="276"/>
      </w:pPr>
      <w:r>
        <w:t xml:space="preserve">The hybrid training market has split into two crowded camps and left the middle wide open. </w:t>
      </w:r>
      <w:r>
        <w:rPr>
          <w:b/>
          <w:bCs/>
        </w:rPr>
        <w:t xml:space="preserve">Coaching/programming apps</w:t>
      </w:r>
      <w:r>
        <w:t xml:space="preserve"> (Edge, ROXFIT, RMR, trainhybrid.app) tell athletes what to do. </w:t>
      </w:r>
      <w:r>
        <w:rPr>
          <w:b/>
          <w:bCs/>
        </w:rPr>
        <w:t xml:space="preserve">Nutrition apps</w:t>
      </w:r>
      <w:r>
        <w:t xml:space="preserve"> (MacroFactor, Welling, Cronometer) tell them what to eat. Nobody owns the </w:t>
      </w:r>
      <w:r>
        <w:rPr>
          <w:b/>
          <w:bCs/>
        </w:rPr>
        <w:t xml:space="preserve">logging layer</w:t>
      </w:r>
      <w:r>
        <w:t xml:space="preserve"> that sits underneath both: a fast daily tracker that captures lifting and running in one place, computes a single unified training load, and flexes macro targets to the actual sessions logged that day.</w:t>
      </w:r>
    </w:p>
    <w:p>
      <w:pPr>
        <w:spacing w:after="120" w:line="276"/>
      </w:pPr>
      <w:r>
        <w:t xml:space="preserve">Today serious hybrid athletes duct-tape three apps together — a lifting logger (Strong/Hevy), a run tracker (Strava/Garmin), and a macro app (MacroFactor). Even TrainHeroic's own guidance tells athletes to run a separate nutrition app alongside it. That seam is the product.</w:t>
      </w:r>
    </w:p>
    <w:p>
      <w:pPr>
        <w:spacing w:after="120" w:line="276"/>
      </w:pPr>
      <w:r>
        <w:rPr>
          <w:b/>
          <w:bCs/>
        </w:rPr>
        <w:t xml:space="preserve">The wedge:</w:t>
      </w:r>
      <w:r>
        <w:t xml:space="preserve"> be the single source of truth for what a hybrid athlete actually did and ate — with a defensible unified-load model and day-type-aware fueling as the moat. Programming and AI coaching are a later layer, not the v1.</w:t>
      </w:r>
    </w:p>
    <w:p>
      <w:pPr>
        <w:spacing w:after="120" w:line="276"/>
      </w:pPr>
      <w:r>
        <w:rPr>
          <w:b/>
          <w:bCs/>
        </w:rPr>
        <w:t xml:space="preserve">Initial target:</w:t>
      </w:r>
      <w:r>
        <w:t xml:space="preserve"> serious HYROX and tactical athletes. They are data-obsessive, already pay for multiple apps, train 5–6 days/week across modalities, and have a concrete performance goal (a race / a fitness test) that makes the interference problem visceral and urgent.</w:t>
      </w:r>
    </w:p>
    <w:p>
      <w:pPr>
        <w:pBdr>
          <w:bottom w:val="single" w:color="2E6FB7" w:sz="6" w:space="1"/>
        </w:pBdr>
        <w:spacing w:after="160"/>
      </w:pPr>
      <w:r>
        <w:t xml:space="preserve"/>
      </w:r>
    </w:p>
    <w:p>
      <w:pPr>
        <w:pStyle w:val="Heading1"/>
      </w:pPr>
      <w:r>
        <w:t xml:space="preserve">2. Problem &amp; Positioning</w:t>
      </w:r>
    </w:p>
    <w:p>
      <w:pPr>
        <w:pStyle w:val="Heading2"/>
      </w:pPr>
      <w:r>
        <w:t xml:space="preserve">2.1 The core problem</w:t>
      </w:r>
    </w:p>
    <w:p>
      <w:pPr>
        <w:spacing w:after="120" w:line="276"/>
      </w:pPr>
      <w:r>
        <w:t xml:space="preserve">Concurrent training creates problems that no single-modality app can see:</w:t>
      </w:r>
    </w:p>
    <w:p>
      <w:pPr>
        <w:pStyle w:val="ListParagraph"/>
        <w:numPr>
          <w:ilvl w:val="0"/>
          <w:numId w:val="2"/>
        </w:numPr>
        <w:spacing w:after="60" w:line="270"/>
      </w:pPr>
      <w:r>
        <w:rPr>
          <w:b/>
          <w:bCs/>
        </w:rPr>
        <w:t xml:space="preserve">Interference effect.</w:t>
      </w:r>
      <w:r>
        <w:t xml:space="preserve"> Endurance work blunts strength adaptation when volume and recovery aren't managed. Running interferes more than cycling. First identified by Hickson (1980); the practical driver is under-recovery and under-fueling, not an inherent incompatibility.</w:t>
      </w:r>
    </w:p>
    <w:p>
      <w:pPr>
        <w:pStyle w:val="ListParagraph"/>
        <w:numPr>
          <w:ilvl w:val="0"/>
          <w:numId w:val="2"/>
        </w:numPr>
        <w:spacing w:after="60" w:line="270"/>
      </w:pPr>
      <w:r>
        <w:rPr>
          <w:b/>
          <w:bCs/>
        </w:rPr>
        <w:t xml:space="preserve">Combined load is invisible.</w:t>
      </w:r>
      <w:r>
        <w:t xml:space="preserve"> A heavy squat day plus a long run is a recovery event that a lifting app and a running app each see as half the picture. There is no shared unit.</w:t>
      </w:r>
    </w:p>
    <w:p>
      <w:pPr>
        <w:pStyle w:val="ListParagraph"/>
        <w:numPr>
          <w:ilvl w:val="0"/>
          <w:numId w:val="2"/>
        </w:numPr>
        <w:spacing w:after="60" w:line="270"/>
      </w:pPr>
      <w:r>
        <w:rPr>
          <w:b/>
          <w:bCs/>
        </w:rPr>
        <w:t xml:space="preserve">Session sequencing matters.</w:t>
      </w:r>
      <w:r>
        <w:t xml:space="preserve"> A hard run on Tuesday changes what should happen in the gym Wednesday. High-CNS stressors need clustering; the order within a day changes the outcome.</w:t>
      </w:r>
    </w:p>
    <w:p>
      <w:pPr>
        <w:pStyle w:val="ListParagraph"/>
        <w:numPr>
          <w:ilvl w:val="0"/>
          <w:numId w:val="2"/>
        </w:numPr>
        <w:spacing w:after="60" w:line="270"/>
      </w:pPr>
      <w:r>
        <w:rPr>
          <w:b/>
          <w:bCs/>
        </w:rPr>
        <w:t xml:space="preserve">The hybrid tax on nutrition.</w:t>
      </w:r>
      <w:r>
        <w:t xml:space="preserve"> A week of 4 lifts + 3 runs can push expenditure to 3,000–4,500 kcal/day. The most common error is under-eating. Carb needs swing hard by day type, and static macro targets miss this entirely.</w:t>
      </w:r>
    </w:p>
    <w:p>
      <w:pPr>
        <w:pStyle w:val="Heading2"/>
      </w:pPr>
      <w:r>
        <w:t xml:space="preserve">2.2 Positioning statement</w:t>
      </w:r>
    </w:p>
    <w:p>
      <w:pPr>
        <w:shd w:fill="EEF3F9" w:val="clear"/>
        <w:spacing w:after="80" w:before="80" w:line="288"/>
        <w:ind w:left="200" w:right="200"/>
      </w:pPr>
      <w:r>
        <w:rPr>
          <w:i/>
          <w:iCs/>
          <w:color w:val="1B2A4A"/>
          <w:sz w:val="22"/>
          <w:szCs w:val="22"/>
        </w:rPr>
        <w:t xml:space="preserve">For serious hybrid athletes who are tired of stitching three apps together, [App] is the single tracker that logs lifting and running in one place, shows one honest measure of total training stress, and adjusts your daily fuel targets to the work you actually did — so you stop guessing whether you're overreaching or under-eating.</w:t>
      </w:r>
    </w:p>
    <w:p>
      <w:pPr>
        <w:pStyle w:val="Heading2"/>
      </w:pPr>
      <w:r>
        <w:t xml:space="preserve">2.3 What we are NOT (v1)</w:t>
      </w:r>
    </w:p>
    <w:p>
      <w:pPr>
        <w:pStyle w:val="ListParagraph"/>
        <w:numPr>
          <w:ilvl w:val="0"/>
          <w:numId w:val="2"/>
        </w:numPr>
        <w:spacing w:after="60" w:line="270"/>
      </w:pPr>
      <w:r>
        <w:t xml:space="preserve">Not a coaching/programming engine. We don't write your block. (Crowded; defer to v2 as an adaptive layer.)</w:t>
      </w:r>
    </w:p>
    <w:p>
      <w:pPr>
        <w:pStyle w:val="ListParagraph"/>
        <w:numPr>
          <w:ilvl w:val="0"/>
          <w:numId w:val="2"/>
        </w:numPr>
        <w:spacing w:after="60" w:line="270"/>
      </w:pPr>
      <w:r>
        <w:t xml:space="preserve">Not a social network. No feed, no kudos at launch.</w:t>
      </w:r>
    </w:p>
    <w:p>
      <w:pPr>
        <w:pStyle w:val="ListParagraph"/>
        <w:numPr>
          <w:ilvl w:val="0"/>
          <w:numId w:val="2"/>
        </w:numPr>
        <w:spacing w:after="60" w:line="270"/>
      </w:pPr>
      <w:r>
        <w:t xml:space="preserve">Not a wearable. We read from Apple Health / Garmin; we don't build hardware.</w:t>
      </w:r>
    </w:p>
    <w:p>
      <w:pPr>
        <w:pBdr>
          <w:bottom w:val="single" w:color="2E6FB7" w:sz="6" w:space="1"/>
        </w:pBdr>
        <w:spacing w:after="160"/>
      </w:pPr>
      <w:r>
        <w:t xml:space="preserve"/>
      </w:r>
    </w:p>
    <w:p>
      <w:pPr>
        <w:pStyle w:val="Heading1"/>
      </w:pPr>
      <w:r>
        <w:t xml:space="preserve">3. Competitive Analysis</w:t>
      </w:r>
    </w:p>
    <w:p>
      <w:pPr>
        <w:spacing w:after="120" w:line="276"/>
      </w:pPr>
      <w:r>
        <w:t xml:space="preserve">The market segments cleanly by what each app is actually for. The intersection of </w:t>
      </w:r>
      <w:r>
        <w:rPr>
          <w:b/>
          <w:bCs/>
        </w:rPr>
        <w:t xml:space="preserve">logging + unified load + adaptive nutrition in one app</w:t>
      </w:r>
      <w:r>
        <w:t xml:space="preserve"> is unoccupied.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1900"/>
        <w:gridCol w:w="1900"/>
        <w:gridCol w:w="1960"/>
      </w:tblGrid>
      <w:tr>
        <w:trPr>
          <w:tblHeader/>
        </w:trPr>
        <w:tc>
          <w:tcPr>
            <w:tcW w:type="dxa" w:w="1500"/>
            <w:tcBorders>
              <w:top w:val="single" w:color="CCCCCC" w:sz="1"/>
              <w:left w:val="single" w:color="CCCCCC" w:sz="1"/>
              <w:bottom w:val="single" w:color="CCCCCC" w:sz="1"/>
              <w:right w:val="single" w:color="CCCCCC" w:sz="1"/>
            </w:tcBorders>
            <w:shd w:fill="1B2A4A" w:val="clear"/>
            <w:tcMar>
              <w:top w:type="dxa" w:w="70"/>
              <w:left w:type="dxa" w:w="110"/>
              <w:bottom w:type="dxa" w:w="70"/>
              <w:right w:type="dxa" w:w="110"/>
            </w:tcMar>
          </w:tcPr>
          <w:p>
            <w:pPr>
              <w:spacing w:after="0" w:line="264"/>
              <w:jc w:val="left"/>
            </w:pPr>
            <w:r>
              <w:rPr>
                <w:b/>
                <w:bCs/>
                <w:color w:val="FFFFFF"/>
                <w:sz w:val="19"/>
                <w:szCs w:val="19"/>
              </w:rPr>
              <w:t xml:space="preserve">App</w:t>
            </w:r>
          </w:p>
        </w:tc>
        <w:tc>
          <w:tcPr>
            <w:tcW w:type="dxa" w:w="2100"/>
            <w:tcBorders>
              <w:top w:val="single" w:color="CCCCCC" w:sz="1"/>
              <w:left w:val="single" w:color="CCCCCC" w:sz="1"/>
              <w:bottom w:val="single" w:color="CCCCCC" w:sz="1"/>
              <w:right w:val="single" w:color="CCCCCC" w:sz="1"/>
            </w:tcBorders>
            <w:shd w:fill="1B2A4A" w:val="clear"/>
            <w:tcMar>
              <w:top w:type="dxa" w:w="70"/>
              <w:left w:type="dxa" w:w="110"/>
              <w:bottom w:type="dxa" w:w="70"/>
              <w:right w:type="dxa" w:w="110"/>
            </w:tcMar>
          </w:tcPr>
          <w:p>
            <w:pPr>
              <w:spacing w:after="0" w:line="264"/>
              <w:jc w:val="left"/>
            </w:pPr>
            <w:r>
              <w:rPr>
                <w:b/>
                <w:bCs/>
                <w:color w:val="FFFFFF"/>
                <w:sz w:val="19"/>
                <w:szCs w:val="19"/>
              </w:rPr>
              <w:t xml:space="preserve">Primary job</w:t>
            </w:r>
          </w:p>
        </w:tc>
        <w:tc>
          <w:tcPr>
            <w:tcW w:type="dxa" w:w="1900"/>
            <w:tcBorders>
              <w:top w:val="single" w:color="CCCCCC" w:sz="1"/>
              <w:left w:val="single" w:color="CCCCCC" w:sz="1"/>
              <w:bottom w:val="single" w:color="CCCCCC" w:sz="1"/>
              <w:right w:val="single" w:color="CCCCCC" w:sz="1"/>
            </w:tcBorders>
            <w:shd w:fill="1B2A4A" w:val="clear"/>
            <w:tcMar>
              <w:top w:type="dxa" w:w="70"/>
              <w:left w:type="dxa" w:w="110"/>
              <w:bottom w:type="dxa" w:w="70"/>
              <w:right w:type="dxa" w:w="110"/>
            </w:tcMar>
          </w:tcPr>
          <w:p>
            <w:pPr>
              <w:spacing w:after="0" w:line="264"/>
              <w:jc w:val="left"/>
            </w:pPr>
            <w:r>
              <w:rPr>
                <w:b/>
                <w:bCs/>
                <w:color w:val="FFFFFF"/>
                <w:sz w:val="19"/>
                <w:szCs w:val="19"/>
              </w:rPr>
              <w:t xml:space="preserve">Hybrid load?</w:t>
            </w:r>
          </w:p>
        </w:tc>
        <w:tc>
          <w:tcPr>
            <w:tcW w:type="dxa" w:w="1900"/>
            <w:tcBorders>
              <w:top w:val="single" w:color="CCCCCC" w:sz="1"/>
              <w:left w:val="single" w:color="CCCCCC" w:sz="1"/>
              <w:bottom w:val="single" w:color="CCCCCC" w:sz="1"/>
              <w:right w:val="single" w:color="CCCCCC" w:sz="1"/>
            </w:tcBorders>
            <w:shd w:fill="1B2A4A" w:val="clear"/>
            <w:tcMar>
              <w:top w:type="dxa" w:w="70"/>
              <w:left w:type="dxa" w:w="110"/>
              <w:bottom w:type="dxa" w:w="70"/>
              <w:right w:type="dxa" w:w="110"/>
            </w:tcMar>
          </w:tcPr>
          <w:p>
            <w:pPr>
              <w:spacing w:after="0" w:line="264"/>
              <w:jc w:val="left"/>
            </w:pPr>
            <w:r>
              <w:rPr>
                <w:b/>
                <w:bCs/>
                <w:color w:val="FFFFFF"/>
                <w:sz w:val="19"/>
                <w:szCs w:val="19"/>
              </w:rPr>
              <w:t xml:space="preserve">Adaptive nutrition?</w:t>
            </w:r>
          </w:p>
        </w:tc>
        <w:tc>
          <w:tcPr>
            <w:tcW w:type="dxa" w:w="1960"/>
            <w:tcBorders>
              <w:top w:val="single" w:color="CCCCCC" w:sz="1"/>
              <w:left w:val="single" w:color="CCCCCC" w:sz="1"/>
              <w:bottom w:val="single" w:color="CCCCCC" w:sz="1"/>
              <w:right w:val="single" w:color="CCCCCC" w:sz="1"/>
            </w:tcBorders>
            <w:shd w:fill="1B2A4A" w:val="clear"/>
            <w:tcMar>
              <w:top w:type="dxa" w:w="70"/>
              <w:left w:type="dxa" w:w="110"/>
              <w:bottom w:type="dxa" w:w="70"/>
              <w:right w:type="dxa" w:w="110"/>
            </w:tcMar>
          </w:tcPr>
          <w:p>
            <w:pPr>
              <w:spacing w:after="0" w:line="264"/>
              <w:jc w:val="left"/>
            </w:pPr>
            <w:r>
              <w:rPr>
                <w:b/>
                <w:bCs/>
                <w:color w:val="FFFFFF"/>
                <w:sz w:val="19"/>
                <w:szCs w:val="19"/>
              </w:rPr>
              <w:t xml:space="preserve">Gap they leave</w:t>
            </w:r>
          </w:p>
        </w:tc>
      </w:tr>
      <w:tr>
        <w:trPr>
          <w:tblHeader w:val="false"/>
        </w:trPr>
        <w:tc>
          <w:tcPr>
            <w:tcW w:type="dxa" w:w="1500"/>
            <w:tcBorders>
              <w:top w:val="single" w:color="CCCCCC" w:sz="1"/>
              <w:left w:val="single" w:color="CCCCCC" w:sz="1"/>
              <w:bottom w:val="single" w:color="CCCCCC" w:sz="1"/>
              <w:right w:val="single" w:color="CCCCCC" w:sz="1"/>
            </w:tcBorders>
            <w:shd w:fill="EEF3F9" w:val="clear"/>
            <w:tcMar>
              <w:top w:type="dxa" w:w="70"/>
              <w:left w:type="dxa" w:w="110"/>
              <w:bottom w:type="dxa" w:w="70"/>
              <w:right w:type="dxa" w:w="110"/>
            </w:tcMar>
          </w:tcPr>
          <w:p>
            <w:pPr>
              <w:spacing w:after="0" w:line="264"/>
              <w:jc w:val="left"/>
            </w:pPr>
            <w:r>
              <w:rPr>
                <w:b w:val="false"/>
                <w:bCs w:val="false"/>
                <w:color w:val="000000"/>
                <w:sz w:val="19"/>
                <w:szCs w:val="19"/>
              </w:rPr>
              <w:t xml:space="preserve">Edge (findyouredge)</w:t>
            </w:r>
          </w:p>
        </w:tc>
        <w:tc>
          <w:tcPr>
            <w:tcW w:type="dxa" w:w="2100"/>
            <w:tcBorders>
              <w:top w:val="single" w:color="CCCCCC" w:sz="1"/>
              <w:left w:val="single" w:color="CCCCCC" w:sz="1"/>
              <w:bottom w:val="single" w:color="CCCCCC" w:sz="1"/>
              <w:right w:val="single" w:color="CCCCCC" w:sz="1"/>
            </w:tcBorders>
            <w:shd w:fill="EEF3F9" w:val="clear"/>
            <w:tcMar>
              <w:top w:type="dxa" w:w="70"/>
              <w:left w:type="dxa" w:w="110"/>
              <w:bottom w:type="dxa" w:w="70"/>
              <w:right w:type="dxa" w:w="110"/>
            </w:tcMar>
          </w:tcPr>
          <w:p>
            <w:pPr>
              <w:spacing w:after="0" w:line="264"/>
              <w:jc w:val="left"/>
            </w:pPr>
            <w:r>
              <w:rPr>
                <w:b w:val="false"/>
                <w:bCs w:val="false"/>
                <w:color w:val="000000"/>
                <w:sz w:val="19"/>
                <w:szCs w:val="19"/>
              </w:rPr>
              <w:t xml:space="preserve">HYROX coaching / programming</w:t>
            </w:r>
          </w:p>
        </w:tc>
        <w:tc>
          <w:tcPr>
            <w:tcW w:type="dxa" w:w="1900"/>
            <w:tcBorders>
              <w:top w:val="single" w:color="CCCCCC" w:sz="1"/>
              <w:left w:val="single" w:color="CCCCCC" w:sz="1"/>
              <w:bottom w:val="single" w:color="CCCCCC" w:sz="1"/>
              <w:right w:val="single" w:color="CCCCCC" w:sz="1"/>
            </w:tcBorders>
            <w:shd w:fill="EEF3F9" w:val="clear"/>
            <w:tcMar>
              <w:top w:type="dxa" w:w="70"/>
              <w:left w:type="dxa" w:w="110"/>
              <w:bottom w:type="dxa" w:w="70"/>
              <w:right w:type="dxa" w:w="110"/>
            </w:tcMar>
          </w:tcPr>
          <w:p>
            <w:pPr>
              <w:spacing w:after="0" w:line="264"/>
              <w:jc w:val="left"/>
            </w:pPr>
            <w:r>
              <w:rPr>
                <w:b w:val="false"/>
                <w:bCs w:val="false"/>
                <w:color w:val="000000"/>
                <w:sz w:val="19"/>
                <w:szCs w:val="19"/>
              </w:rPr>
              <w:t xml:space="preserve">Sequences sessions; no single load number exposed</w:t>
            </w:r>
          </w:p>
        </w:tc>
        <w:tc>
          <w:tcPr>
            <w:tcW w:type="dxa" w:w="1900"/>
            <w:tcBorders>
              <w:top w:val="single" w:color="CCCCCC" w:sz="1"/>
              <w:left w:val="single" w:color="CCCCCC" w:sz="1"/>
              <w:bottom w:val="single" w:color="CCCCCC" w:sz="1"/>
              <w:right w:val="single" w:color="CCCCCC" w:sz="1"/>
            </w:tcBorders>
            <w:shd w:fill="EEF3F9" w:val="clear"/>
            <w:tcMar>
              <w:top w:type="dxa" w:w="70"/>
              <w:left w:type="dxa" w:w="110"/>
              <w:bottom w:type="dxa" w:w="70"/>
              <w:right w:type="dxa" w:w="110"/>
            </w:tcMar>
          </w:tcPr>
          <w:p>
            <w:pPr>
              <w:spacing w:after="0" w:line="264"/>
              <w:jc w:val="left"/>
            </w:pPr>
            <w:r>
              <w:rPr>
                <w:b w:val="false"/>
                <w:bCs w:val="false"/>
                <w:color w:val="000000"/>
                <w:sz w:val="19"/>
                <w:szCs w:val="19"/>
              </w:rPr>
              <w:t xml:space="preserve">Guidance, not tracked</w:t>
            </w:r>
          </w:p>
        </w:tc>
        <w:tc>
          <w:tcPr>
            <w:tcW w:type="dxa" w:w="1960"/>
            <w:tcBorders>
              <w:top w:val="single" w:color="CCCCCC" w:sz="1"/>
              <w:left w:val="single" w:color="CCCCCC" w:sz="1"/>
              <w:bottom w:val="single" w:color="CCCCCC" w:sz="1"/>
              <w:right w:val="single" w:color="CCCCCC" w:sz="1"/>
            </w:tcBorders>
            <w:shd w:fill="EEF3F9" w:val="clear"/>
            <w:tcMar>
              <w:top w:type="dxa" w:w="70"/>
              <w:left w:type="dxa" w:w="110"/>
              <w:bottom w:type="dxa" w:w="70"/>
              <w:right w:type="dxa" w:w="110"/>
            </w:tcMar>
          </w:tcPr>
          <w:p>
            <w:pPr>
              <w:spacing w:after="0" w:line="264"/>
              <w:jc w:val="left"/>
            </w:pPr>
            <w:r>
              <w:rPr>
                <w:b w:val="false"/>
                <w:bCs w:val="false"/>
                <w:color w:val="000000"/>
                <w:sz w:val="19"/>
                <w:szCs w:val="19"/>
              </w:rPr>
              <w:t xml:space="preserve">Not a daily logger; doesn't track intake</w:t>
            </w:r>
          </w:p>
        </w:tc>
      </w:tr>
      <w:tr>
        <w:trPr>
          <w:tblHeader w:val="false"/>
        </w:trPr>
        <w:tc>
          <w:tcPr>
            <w:tcW w:type="dxa" w:w="1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64"/>
              <w:jc w:val="left"/>
            </w:pPr>
            <w:r>
              <w:rPr>
                <w:b w:val="false"/>
                <w:bCs w:val="false"/>
                <w:color w:val="000000"/>
                <w:sz w:val="19"/>
                <w:szCs w:val="19"/>
              </w:rPr>
              <w:t xml:space="preserve">ROXFIT / RMR</w:t>
            </w:r>
          </w:p>
        </w:tc>
        <w:tc>
          <w:tcPr>
            <w:tcW w:type="dxa" w:w="2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64"/>
              <w:jc w:val="left"/>
            </w:pPr>
            <w:r>
              <w:rPr>
                <w:b w:val="false"/>
                <w:bCs w:val="false"/>
                <w:color w:val="000000"/>
                <w:sz w:val="19"/>
                <w:szCs w:val="19"/>
              </w:rPr>
              <w:t xml:space="preserve">HYROX programs + community</w:t>
            </w:r>
          </w:p>
        </w:tc>
        <w:tc>
          <w:tcPr>
            <w:tcW w:type="dxa" w:w="1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64"/>
              <w:jc w:val="left"/>
            </w:pPr>
            <w:r>
              <w:rPr>
                <w:b w:val="false"/>
                <w:bCs w:val="false"/>
                <w:color w:val="000000"/>
                <w:sz w:val="19"/>
                <w:szCs w:val="19"/>
              </w:rPr>
              <w:t xml:space="preserve">No unified metric</w:t>
            </w:r>
          </w:p>
        </w:tc>
        <w:tc>
          <w:tcPr>
            <w:tcW w:type="dxa" w:w="1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64"/>
              <w:jc w:val="left"/>
            </w:pPr>
            <w:r>
              <w:rPr>
                <w:b w:val="false"/>
                <w:bCs w:val="false"/>
                <w:color w:val="000000"/>
                <w:sz w:val="19"/>
                <w:szCs w:val="19"/>
              </w:rPr>
              <w:t xml:space="preserve">No</w:t>
            </w:r>
          </w:p>
        </w:tc>
        <w:tc>
          <w:tcPr>
            <w:tcW w:type="dxa" w:w="1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64"/>
              <w:jc w:val="left"/>
            </w:pPr>
            <w:r>
              <w:rPr>
                <w:b w:val="false"/>
                <w:bCs w:val="false"/>
                <w:color w:val="000000"/>
                <w:sz w:val="19"/>
                <w:szCs w:val="19"/>
              </w:rPr>
              <w:t xml:space="preserve">Programming, not tracking; no fueling</w:t>
            </w:r>
          </w:p>
        </w:tc>
      </w:tr>
      <w:tr>
        <w:trPr>
          <w:tblHeader w:val="false"/>
        </w:trPr>
        <w:tc>
          <w:tcPr>
            <w:tcW w:type="dxa" w:w="1500"/>
            <w:tcBorders>
              <w:top w:val="single" w:color="CCCCCC" w:sz="1"/>
              <w:left w:val="single" w:color="CCCCCC" w:sz="1"/>
              <w:bottom w:val="single" w:color="CCCCCC" w:sz="1"/>
              <w:right w:val="single" w:color="CCCCCC" w:sz="1"/>
            </w:tcBorders>
            <w:shd w:fill="EEF3F9" w:val="clear"/>
            <w:tcMar>
              <w:top w:type="dxa" w:w="70"/>
              <w:left w:type="dxa" w:w="110"/>
              <w:bottom w:type="dxa" w:w="70"/>
              <w:right w:type="dxa" w:w="110"/>
            </w:tcMar>
          </w:tcPr>
          <w:p>
            <w:pPr>
              <w:spacing w:after="0" w:line="264"/>
              <w:jc w:val="left"/>
            </w:pPr>
            <w:r>
              <w:rPr>
                <w:b w:val="false"/>
                <w:bCs w:val="false"/>
                <w:color w:val="000000"/>
                <w:sz w:val="19"/>
                <w:szCs w:val="19"/>
              </w:rPr>
              <w:t xml:space="preserve">trainhybrid.app</w:t>
            </w:r>
          </w:p>
        </w:tc>
        <w:tc>
          <w:tcPr>
            <w:tcW w:type="dxa" w:w="2100"/>
            <w:tcBorders>
              <w:top w:val="single" w:color="CCCCCC" w:sz="1"/>
              <w:left w:val="single" w:color="CCCCCC" w:sz="1"/>
              <w:bottom w:val="single" w:color="CCCCCC" w:sz="1"/>
              <w:right w:val="single" w:color="CCCCCC" w:sz="1"/>
            </w:tcBorders>
            <w:shd w:fill="EEF3F9" w:val="clear"/>
            <w:tcMar>
              <w:top w:type="dxa" w:w="70"/>
              <w:left w:type="dxa" w:w="110"/>
              <w:bottom w:type="dxa" w:w="70"/>
              <w:right w:type="dxa" w:w="110"/>
            </w:tcMar>
          </w:tcPr>
          <w:p>
            <w:pPr>
              <w:spacing w:after="0" w:line="264"/>
              <w:jc w:val="left"/>
            </w:pPr>
            <w:r>
              <w:rPr>
                <w:b w:val="false"/>
                <w:bCs w:val="false"/>
                <w:color w:val="000000"/>
                <w:sz w:val="19"/>
                <w:szCs w:val="19"/>
              </w:rPr>
              <w:t xml:space="preserve">AI programming (CTL/ATL/TSB, HRV)</w:t>
            </w:r>
          </w:p>
        </w:tc>
        <w:tc>
          <w:tcPr>
            <w:tcW w:type="dxa" w:w="1900"/>
            <w:tcBorders>
              <w:top w:val="single" w:color="CCCCCC" w:sz="1"/>
              <w:left w:val="single" w:color="CCCCCC" w:sz="1"/>
              <w:bottom w:val="single" w:color="CCCCCC" w:sz="1"/>
              <w:right w:val="single" w:color="CCCCCC" w:sz="1"/>
            </w:tcBorders>
            <w:shd w:fill="EEF3F9" w:val="clear"/>
            <w:tcMar>
              <w:top w:type="dxa" w:w="70"/>
              <w:left w:type="dxa" w:w="110"/>
              <w:bottom w:type="dxa" w:w="70"/>
              <w:right w:type="dxa" w:w="110"/>
            </w:tcMar>
          </w:tcPr>
          <w:p>
            <w:pPr>
              <w:spacing w:after="0" w:line="264"/>
              <w:jc w:val="left"/>
            </w:pPr>
            <w:r>
              <w:rPr>
                <w:b w:val="false"/>
                <w:bCs w:val="false"/>
                <w:color w:val="000000"/>
                <w:sz w:val="19"/>
                <w:szCs w:val="19"/>
              </w:rPr>
              <w:t xml:space="preserve">Yes — but for prescribing, waitlist</w:t>
            </w:r>
          </w:p>
        </w:tc>
        <w:tc>
          <w:tcPr>
            <w:tcW w:type="dxa" w:w="1900"/>
            <w:tcBorders>
              <w:top w:val="single" w:color="CCCCCC" w:sz="1"/>
              <w:left w:val="single" w:color="CCCCCC" w:sz="1"/>
              <w:bottom w:val="single" w:color="CCCCCC" w:sz="1"/>
              <w:right w:val="single" w:color="CCCCCC" w:sz="1"/>
            </w:tcBorders>
            <w:shd w:fill="EEF3F9" w:val="clear"/>
            <w:tcMar>
              <w:top w:type="dxa" w:w="70"/>
              <w:left w:type="dxa" w:w="110"/>
              <w:bottom w:type="dxa" w:w="70"/>
              <w:right w:type="dxa" w:w="110"/>
            </w:tcMar>
          </w:tcPr>
          <w:p>
            <w:pPr>
              <w:spacing w:after="0" w:line="264"/>
              <w:jc w:val="left"/>
            </w:pPr>
            <w:r>
              <w:rPr>
                <w:b w:val="false"/>
                <w:bCs w:val="false"/>
                <w:color w:val="000000"/>
                <w:sz w:val="19"/>
                <w:szCs w:val="19"/>
              </w:rPr>
              <w:t xml:space="preserve">Carb periodization guidance</w:t>
            </w:r>
          </w:p>
        </w:tc>
        <w:tc>
          <w:tcPr>
            <w:tcW w:type="dxa" w:w="1960"/>
            <w:tcBorders>
              <w:top w:val="single" w:color="CCCCCC" w:sz="1"/>
              <w:left w:val="single" w:color="CCCCCC" w:sz="1"/>
              <w:bottom w:val="single" w:color="CCCCCC" w:sz="1"/>
              <w:right w:val="single" w:color="CCCCCC" w:sz="1"/>
            </w:tcBorders>
            <w:shd w:fill="EEF3F9" w:val="clear"/>
            <w:tcMar>
              <w:top w:type="dxa" w:w="70"/>
              <w:left w:type="dxa" w:w="110"/>
              <w:bottom w:type="dxa" w:w="70"/>
              <w:right w:type="dxa" w:w="110"/>
            </w:tcMar>
          </w:tcPr>
          <w:p>
            <w:pPr>
              <w:spacing w:after="0" w:line="264"/>
              <w:jc w:val="left"/>
            </w:pPr>
            <w:r>
              <w:rPr>
                <w:b w:val="false"/>
                <w:bCs w:val="false"/>
                <w:color w:val="000000"/>
                <w:sz w:val="19"/>
                <w:szCs w:val="19"/>
              </w:rPr>
              <w:t xml:space="preserve">Coach-first; not a fast manual logger</w:t>
            </w:r>
          </w:p>
        </w:tc>
      </w:tr>
      <w:tr>
        <w:trPr>
          <w:tblHeader w:val="false"/>
        </w:trPr>
        <w:tc>
          <w:tcPr>
            <w:tcW w:type="dxa" w:w="1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64"/>
              <w:jc w:val="left"/>
            </w:pPr>
            <w:r>
              <w:rPr>
                <w:b w:val="false"/>
                <w:bCs w:val="false"/>
                <w:color w:val="000000"/>
                <w:sz w:val="19"/>
                <w:szCs w:val="19"/>
              </w:rPr>
              <w:t xml:space="preserve">Strong / Hevy</w:t>
            </w:r>
          </w:p>
        </w:tc>
        <w:tc>
          <w:tcPr>
            <w:tcW w:type="dxa" w:w="2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64"/>
              <w:jc w:val="left"/>
            </w:pPr>
            <w:r>
              <w:rPr>
                <w:b w:val="false"/>
                <w:bCs w:val="false"/>
                <w:color w:val="000000"/>
                <w:sz w:val="19"/>
                <w:szCs w:val="19"/>
              </w:rPr>
              <w:t xml:space="preserve">Lifting logger</w:t>
            </w:r>
          </w:p>
        </w:tc>
        <w:tc>
          <w:tcPr>
            <w:tcW w:type="dxa" w:w="1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64"/>
              <w:jc w:val="left"/>
            </w:pPr>
            <w:r>
              <w:rPr>
                <w:b w:val="false"/>
                <w:bCs w:val="false"/>
                <w:color w:val="000000"/>
                <w:sz w:val="19"/>
                <w:szCs w:val="19"/>
              </w:rPr>
              <w:t xml:space="preserve">Lifting only</w:t>
            </w:r>
          </w:p>
        </w:tc>
        <w:tc>
          <w:tcPr>
            <w:tcW w:type="dxa" w:w="1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64"/>
              <w:jc w:val="left"/>
            </w:pPr>
            <w:r>
              <w:rPr>
                <w:b w:val="false"/>
                <w:bCs w:val="false"/>
                <w:color w:val="000000"/>
                <w:sz w:val="19"/>
                <w:szCs w:val="19"/>
              </w:rPr>
              <w:t xml:space="preserve">No</w:t>
            </w:r>
          </w:p>
        </w:tc>
        <w:tc>
          <w:tcPr>
            <w:tcW w:type="dxa" w:w="1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64"/>
              <w:jc w:val="left"/>
            </w:pPr>
            <w:r>
              <w:rPr>
                <w:b w:val="false"/>
                <w:bCs w:val="false"/>
                <w:color w:val="000000"/>
                <w:sz w:val="19"/>
                <w:szCs w:val="19"/>
              </w:rPr>
              <w:t xml:space="preserve">Blind to running and fueling</w:t>
            </w:r>
          </w:p>
        </w:tc>
      </w:tr>
      <w:tr>
        <w:trPr>
          <w:tblHeader w:val="false"/>
        </w:trPr>
        <w:tc>
          <w:tcPr>
            <w:tcW w:type="dxa" w:w="1500"/>
            <w:tcBorders>
              <w:top w:val="single" w:color="CCCCCC" w:sz="1"/>
              <w:left w:val="single" w:color="CCCCCC" w:sz="1"/>
              <w:bottom w:val="single" w:color="CCCCCC" w:sz="1"/>
              <w:right w:val="single" w:color="CCCCCC" w:sz="1"/>
            </w:tcBorders>
            <w:shd w:fill="EEF3F9" w:val="clear"/>
            <w:tcMar>
              <w:top w:type="dxa" w:w="70"/>
              <w:left w:type="dxa" w:w="110"/>
              <w:bottom w:type="dxa" w:w="70"/>
              <w:right w:type="dxa" w:w="110"/>
            </w:tcMar>
          </w:tcPr>
          <w:p>
            <w:pPr>
              <w:spacing w:after="0" w:line="264"/>
              <w:jc w:val="left"/>
            </w:pPr>
            <w:r>
              <w:rPr>
                <w:b w:val="false"/>
                <w:bCs w:val="false"/>
                <w:color w:val="000000"/>
                <w:sz w:val="19"/>
                <w:szCs w:val="19"/>
              </w:rPr>
              <w:t xml:space="preserve">Strava / Garmin</w:t>
            </w:r>
          </w:p>
        </w:tc>
        <w:tc>
          <w:tcPr>
            <w:tcW w:type="dxa" w:w="2100"/>
            <w:tcBorders>
              <w:top w:val="single" w:color="CCCCCC" w:sz="1"/>
              <w:left w:val="single" w:color="CCCCCC" w:sz="1"/>
              <w:bottom w:val="single" w:color="CCCCCC" w:sz="1"/>
              <w:right w:val="single" w:color="CCCCCC" w:sz="1"/>
            </w:tcBorders>
            <w:shd w:fill="EEF3F9" w:val="clear"/>
            <w:tcMar>
              <w:top w:type="dxa" w:w="70"/>
              <w:left w:type="dxa" w:w="110"/>
              <w:bottom w:type="dxa" w:w="70"/>
              <w:right w:type="dxa" w:w="110"/>
            </w:tcMar>
          </w:tcPr>
          <w:p>
            <w:pPr>
              <w:spacing w:after="0" w:line="264"/>
              <w:jc w:val="left"/>
            </w:pPr>
            <w:r>
              <w:rPr>
                <w:b w:val="false"/>
                <w:bCs w:val="false"/>
                <w:color w:val="000000"/>
                <w:sz w:val="19"/>
                <w:szCs w:val="19"/>
              </w:rPr>
              <w:t xml:space="preserve">Run/endurance tracking + load</w:t>
            </w:r>
          </w:p>
        </w:tc>
        <w:tc>
          <w:tcPr>
            <w:tcW w:type="dxa" w:w="1900"/>
            <w:tcBorders>
              <w:top w:val="single" w:color="CCCCCC" w:sz="1"/>
              <w:left w:val="single" w:color="CCCCCC" w:sz="1"/>
              <w:bottom w:val="single" w:color="CCCCCC" w:sz="1"/>
              <w:right w:val="single" w:color="CCCCCC" w:sz="1"/>
            </w:tcBorders>
            <w:shd w:fill="EEF3F9" w:val="clear"/>
            <w:tcMar>
              <w:top w:type="dxa" w:w="70"/>
              <w:left w:type="dxa" w:w="110"/>
              <w:bottom w:type="dxa" w:w="70"/>
              <w:right w:type="dxa" w:w="110"/>
            </w:tcMar>
          </w:tcPr>
          <w:p>
            <w:pPr>
              <w:spacing w:after="0" w:line="264"/>
              <w:jc w:val="left"/>
            </w:pPr>
            <w:r>
              <w:rPr>
                <w:b w:val="false"/>
                <w:bCs w:val="false"/>
                <w:color w:val="000000"/>
                <w:sz w:val="19"/>
                <w:szCs w:val="19"/>
              </w:rPr>
              <w:t xml:space="preserve">Endurance load only (TSS-like)</w:t>
            </w:r>
          </w:p>
        </w:tc>
        <w:tc>
          <w:tcPr>
            <w:tcW w:type="dxa" w:w="1900"/>
            <w:tcBorders>
              <w:top w:val="single" w:color="CCCCCC" w:sz="1"/>
              <w:left w:val="single" w:color="CCCCCC" w:sz="1"/>
              <w:bottom w:val="single" w:color="CCCCCC" w:sz="1"/>
              <w:right w:val="single" w:color="CCCCCC" w:sz="1"/>
            </w:tcBorders>
            <w:shd w:fill="EEF3F9" w:val="clear"/>
            <w:tcMar>
              <w:top w:type="dxa" w:w="70"/>
              <w:left w:type="dxa" w:w="110"/>
              <w:bottom w:type="dxa" w:w="70"/>
              <w:right w:type="dxa" w:w="110"/>
            </w:tcMar>
          </w:tcPr>
          <w:p>
            <w:pPr>
              <w:spacing w:after="0" w:line="264"/>
              <w:jc w:val="left"/>
            </w:pPr>
            <w:r>
              <w:rPr>
                <w:b w:val="false"/>
                <w:bCs w:val="false"/>
                <w:color w:val="000000"/>
                <w:sz w:val="19"/>
                <w:szCs w:val="19"/>
              </w:rPr>
              <w:t xml:space="preserve">No</w:t>
            </w:r>
          </w:p>
        </w:tc>
        <w:tc>
          <w:tcPr>
            <w:tcW w:type="dxa" w:w="1960"/>
            <w:tcBorders>
              <w:top w:val="single" w:color="CCCCCC" w:sz="1"/>
              <w:left w:val="single" w:color="CCCCCC" w:sz="1"/>
              <w:bottom w:val="single" w:color="CCCCCC" w:sz="1"/>
              <w:right w:val="single" w:color="CCCCCC" w:sz="1"/>
            </w:tcBorders>
            <w:shd w:fill="EEF3F9" w:val="clear"/>
            <w:tcMar>
              <w:top w:type="dxa" w:w="70"/>
              <w:left w:type="dxa" w:w="110"/>
              <w:bottom w:type="dxa" w:w="70"/>
              <w:right w:type="dxa" w:w="110"/>
            </w:tcMar>
          </w:tcPr>
          <w:p>
            <w:pPr>
              <w:spacing w:after="0" w:line="264"/>
              <w:jc w:val="left"/>
            </w:pPr>
            <w:r>
              <w:rPr>
                <w:b w:val="false"/>
                <w:bCs w:val="false"/>
                <w:color w:val="000000"/>
                <w:sz w:val="19"/>
                <w:szCs w:val="19"/>
              </w:rPr>
              <w:t xml:space="preserve">Lifting is a second-class citizen</w:t>
            </w:r>
          </w:p>
        </w:tc>
      </w:tr>
      <w:tr>
        <w:trPr>
          <w:tblHeader w:val="false"/>
        </w:trPr>
        <w:tc>
          <w:tcPr>
            <w:tcW w:type="dxa" w:w="1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64"/>
              <w:jc w:val="left"/>
            </w:pPr>
            <w:r>
              <w:rPr>
                <w:b w:val="false"/>
                <w:bCs w:val="false"/>
                <w:color w:val="000000"/>
                <w:sz w:val="19"/>
                <w:szCs w:val="19"/>
              </w:rPr>
              <w:t xml:space="preserve">MacroFactor / Welling</w:t>
            </w:r>
          </w:p>
        </w:tc>
        <w:tc>
          <w:tcPr>
            <w:tcW w:type="dxa" w:w="2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64"/>
              <w:jc w:val="left"/>
            </w:pPr>
            <w:r>
              <w:rPr>
                <w:b w:val="false"/>
                <w:bCs w:val="false"/>
                <w:color w:val="000000"/>
                <w:sz w:val="19"/>
                <w:szCs w:val="19"/>
              </w:rPr>
              <w:t xml:space="preserve">Adaptive macro tracking</w:t>
            </w:r>
          </w:p>
        </w:tc>
        <w:tc>
          <w:tcPr>
            <w:tcW w:type="dxa" w:w="1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64"/>
              <w:jc w:val="left"/>
            </w:pPr>
            <w:r>
              <w:rPr>
                <w:b w:val="false"/>
                <w:bCs w:val="false"/>
                <w:color w:val="000000"/>
                <w:sz w:val="19"/>
                <w:szCs w:val="19"/>
              </w:rPr>
              <w:t xml:space="preserve">No (reads expenditure trend)</w:t>
            </w:r>
          </w:p>
        </w:tc>
        <w:tc>
          <w:tcPr>
            <w:tcW w:type="dxa" w:w="1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64"/>
              <w:jc w:val="left"/>
            </w:pPr>
            <w:r>
              <w:rPr>
                <w:b w:val="false"/>
                <w:bCs w:val="false"/>
                <w:color w:val="000000"/>
                <w:sz w:val="19"/>
                <w:szCs w:val="19"/>
              </w:rPr>
              <w:t xml:space="preserve">Yes — but not by session type</w:t>
            </w:r>
          </w:p>
        </w:tc>
        <w:tc>
          <w:tcPr>
            <w:tcW w:type="dxa" w:w="1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64"/>
              <w:jc w:val="left"/>
            </w:pPr>
            <w:r>
              <w:rPr>
                <w:b w:val="false"/>
                <w:bCs w:val="false"/>
                <w:color w:val="000000"/>
                <w:sz w:val="19"/>
                <w:szCs w:val="19"/>
              </w:rPr>
              <w:t xml:space="preserve">No training log; not hybrid-aware</w:t>
            </w:r>
          </w:p>
        </w:tc>
      </w:tr>
      <w:tr>
        <w:trPr>
          <w:tblHeader w:val="false"/>
        </w:trPr>
        <w:tc>
          <w:tcPr>
            <w:tcW w:type="dxa" w:w="1500"/>
            <w:tcBorders>
              <w:top w:val="single" w:color="CCCCCC" w:sz="1"/>
              <w:left w:val="single" w:color="CCCCCC" w:sz="1"/>
              <w:bottom w:val="single" w:color="CCCCCC" w:sz="1"/>
              <w:right w:val="single" w:color="CCCCCC" w:sz="1"/>
            </w:tcBorders>
            <w:shd w:fill="EEF3F9" w:val="clear"/>
            <w:tcMar>
              <w:top w:type="dxa" w:w="70"/>
              <w:left w:type="dxa" w:w="110"/>
              <w:bottom w:type="dxa" w:w="70"/>
              <w:right w:type="dxa" w:w="110"/>
            </w:tcMar>
          </w:tcPr>
          <w:p>
            <w:pPr>
              <w:spacing w:after="0" w:line="264"/>
              <w:jc w:val="left"/>
            </w:pPr>
            <w:r>
              <w:rPr>
                <w:b w:val="false"/>
                <w:bCs w:val="false"/>
                <w:color w:val="000000"/>
                <w:sz w:val="19"/>
                <w:szCs w:val="19"/>
              </w:rPr>
              <w:t xml:space="preserve">TrainHeroic</w:t>
            </w:r>
          </w:p>
        </w:tc>
        <w:tc>
          <w:tcPr>
            <w:tcW w:type="dxa" w:w="2100"/>
            <w:tcBorders>
              <w:top w:val="single" w:color="CCCCCC" w:sz="1"/>
              <w:left w:val="single" w:color="CCCCCC" w:sz="1"/>
              <w:bottom w:val="single" w:color="CCCCCC" w:sz="1"/>
              <w:right w:val="single" w:color="CCCCCC" w:sz="1"/>
            </w:tcBorders>
            <w:shd w:fill="EEF3F9" w:val="clear"/>
            <w:tcMar>
              <w:top w:type="dxa" w:w="70"/>
              <w:left w:type="dxa" w:w="110"/>
              <w:bottom w:type="dxa" w:w="70"/>
              <w:right w:type="dxa" w:w="110"/>
            </w:tcMar>
          </w:tcPr>
          <w:p>
            <w:pPr>
              <w:spacing w:after="0" w:line="264"/>
              <w:jc w:val="left"/>
            </w:pPr>
            <w:r>
              <w:rPr>
                <w:b w:val="false"/>
                <w:bCs w:val="false"/>
                <w:color w:val="000000"/>
                <w:sz w:val="19"/>
                <w:szCs w:val="19"/>
              </w:rPr>
              <w:t xml:space="preserve">Programming + import nutrition</w:t>
            </w:r>
          </w:p>
        </w:tc>
        <w:tc>
          <w:tcPr>
            <w:tcW w:type="dxa" w:w="1900"/>
            <w:tcBorders>
              <w:top w:val="single" w:color="CCCCCC" w:sz="1"/>
              <w:left w:val="single" w:color="CCCCCC" w:sz="1"/>
              <w:bottom w:val="single" w:color="CCCCCC" w:sz="1"/>
              <w:right w:val="single" w:color="CCCCCC" w:sz="1"/>
            </w:tcBorders>
            <w:shd w:fill="EEF3F9" w:val="clear"/>
            <w:tcMar>
              <w:top w:type="dxa" w:w="70"/>
              <w:left w:type="dxa" w:w="110"/>
              <w:bottom w:type="dxa" w:w="70"/>
              <w:right w:type="dxa" w:w="110"/>
            </w:tcMar>
          </w:tcPr>
          <w:p>
            <w:pPr>
              <w:spacing w:after="0" w:line="264"/>
              <w:jc w:val="left"/>
            </w:pPr>
            <w:r>
              <w:rPr>
                <w:b w:val="false"/>
                <w:bCs w:val="false"/>
                <w:color w:val="000000"/>
                <w:sz w:val="19"/>
                <w:szCs w:val="19"/>
              </w:rPr>
              <w:t xml:space="preserve">Load + readiness</w:t>
            </w:r>
          </w:p>
        </w:tc>
        <w:tc>
          <w:tcPr>
            <w:tcW w:type="dxa" w:w="1900"/>
            <w:tcBorders>
              <w:top w:val="single" w:color="CCCCCC" w:sz="1"/>
              <w:left w:val="single" w:color="CCCCCC" w:sz="1"/>
              <w:bottom w:val="single" w:color="CCCCCC" w:sz="1"/>
              <w:right w:val="single" w:color="CCCCCC" w:sz="1"/>
            </w:tcBorders>
            <w:shd w:fill="EEF3F9" w:val="clear"/>
            <w:tcMar>
              <w:top w:type="dxa" w:w="70"/>
              <w:left w:type="dxa" w:w="110"/>
              <w:bottom w:type="dxa" w:w="70"/>
              <w:right w:type="dxa" w:w="110"/>
            </w:tcMar>
          </w:tcPr>
          <w:p>
            <w:pPr>
              <w:spacing w:after="0" w:line="264"/>
              <w:jc w:val="left"/>
            </w:pPr>
            <w:r>
              <w:rPr>
                <w:b w:val="false"/>
                <w:bCs w:val="false"/>
                <w:color w:val="000000"/>
                <w:sz w:val="19"/>
                <w:szCs w:val="19"/>
              </w:rPr>
              <w:t xml:space="preserve">Imports from a 3rd-party app</w:t>
            </w:r>
          </w:p>
        </w:tc>
        <w:tc>
          <w:tcPr>
            <w:tcW w:type="dxa" w:w="1960"/>
            <w:tcBorders>
              <w:top w:val="single" w:color="CCCCCC" w:sz="1"/>
              <w:left w:val="single" w:color="CCCCCC" w:sz="1"/>
              <w:bottom w:val="single" w:color="CCCCCC" w:sz="1"/>
              <w:right w:val="single" w:color="CCCCCC" w:sz="1"/>
            </w:tcBorders>
            <w:shd w:fill="EEF3F9" w:val="clear"/>
            <w:tcMar>
              <w:top w:type="dxa" w:w="70"/>
              <w:left w:type="dxa" w:w="110"/>
              <w:bottom w:type="dxa" w:w="70"/>
              <w:right w:type="dxa" w:w="110"/>
            </w:tcMar>
          </w:tcPr>
          <w:p>
            <w:pPr>
              <w:spacing w:after="0" w:line="264"/>
              <w:jc w:val="left"/>
            </w:pPr>
            <w:r>
              <w:rPr>
                <w:b w:val="false"/>
                <w:bCs w:val="false"/>
                <w:color w:val="000000"/>
                <w:sz w:val="19"/>
                <w:szCs w:val="19"/>
              </w:rPr>
              <w:t xml:space="preserve">Tells users to run a separate macro app</w:t>
            </w:r>
          </w:p>
        </w:tc>
      </w:tr>
    </w:tbl>
    <w:p>
      <w:pPr>
        <w:spacing w:after="80"/>
      </w:pPr>
      <w:r>
        <w:t xml:space="preserve"/>
      </w:r>
    </w:p>
    <w:p>
      <w:pPr>
        <w:pStyle w:val="Heading2"/>
      </w:pPr>
      <w:r>
        <w:t xml:space="preserve">3.1 The opening</w:t>
      </w:r>
    </w:p>
    <w:p>
      <w:pPr>
        <w:pStyle w:val="ListParagraph"/>
        <w:numPr>
          <w:ilvl w:val="0"/>
          <w:numId w:val="2"/>
        </w:numPr>
        <w:spacing w:after="60" w:line="270"/>
      </w:pPr>
      <w:r>
        <w:rPr>
          <w:b/>
          <w:bCs/>
        </w:rPr>
        <w:t xml:space="preserve">No one logs both modalities AND fuels off them.</w:t>
      </w:r>
      <w:r>
        <w:t xml:space="preserve"> Trackers pick a lane; nutrition apps ignore the session; coaching apps don't log intake.</w:t>
      </w:r>
    </w:p>
    <w:p>
      <w:pPr>
        <w:pStyle w:val="ListParagraph"/>
        <w:numPr>
          <w:ilvl w:val="0"/>
          <w:numId w:val="2"/>
        </w:numPr>
        <w:spacing w:after="60" w:line="270"/>
      </w:pPr>
      <w:r>
        <w:rPr>
          <w:b/>
          <w:bCs/>
        </w:rPr>
        <w:t xml:space="preserve">Unified load is the moat.</w:t>
      </w:r>
      <w:r>
        <w:t xml:space="preserve"> trainhybrid.app is the closest, but it's a coach-first, waitlisted prescribing tool — not a fast, manual, log-what-you-did tracker. Owning the honest combined-stress number for the logging crowd is open.</w:t>
      </w:r>
    </w:p>
    <w:p>
      <w:pPr>
        <w:pStyle w:val="ListParagraph"/>
        <w:numPr>
          <w:ilvl w:val="0"/>
          <w:numId w:val="2"/>
        </w:numPr>
        <w:spacing w:after="60" w:line="270"/>
      </w:pPr>
      <w:r>
        <w:rPr>
          <w:b/>
          <w:bCs/>
        </w:rPr>
        <w:t xml:space="preserve">Day-type fueling is unclaimed in-context.</w:t>
      </w:r>
      <w:r>
        <w:t xml:space="preserve"> MacroFactor supports training/rest-day targets but is blind to whether today was a long run or a heavy lift. We set the target from the session you just logged.</w:t>
      </w:r>
    </w:p>
    <w:p>
      <w:pPr>
        <w:pStyle w:val="Heading2"/>
      </w:pPr>
      <w:r>
        <w:t xml:space="preserve">3.2 Why we win the wedge</w:t>
      </w:r>
    </w:p>
    <w:p>
      <w:pPr>
        <w:spacing w:after="120" w:line="276"/>
      </w:pPr>
      <w:r>
        <w:t xml:space="preserve">HYROX/tactical athletes feel all three pains at once and already pay for three apps. Collapsing those into one tracker with a credible load model and session-aware fueling is a concrete, demonstrable upgrade on day one — before any coaching feature exists.</w:t>
      </w:r>
    </w:p>
    <w:p>
      <w:pPr>
        <w:pBdr>
          <w:bottom w:val="single" w:color="2E6FB7" w:sz="6" w:space="1"/>
        </w:pBdr>
        <w:spacing w:after="160"/>
      </w:pPr>
      <w:r>
        <w:t xml:space="preserve"/>
      </w:r>
    </w:p>
    <w:p>
      <w:pPr>
        <w:pStyle w:val="Heading1"/>
      </w:pPr>
      <w:r>
        <w:t xml:space="preserve">4. Target Users</w:t>
      </w:r>
    </w:p>
    <w:p>
      <w:pPr>
        <w:pStyle w:val="Heading2"/>
      </w:pPr>
      <w:r>
        <w:t xml:space="preserve">4.1 Primary — the HYROX competitor</w:t>
      </w:r>
    </w:p>
    <w:p>
      <w:pPr>
        <w:pStyle w:val="ListParagraph"/>
        <w:numPr>
          <w:ilvl w:val="0"/>
          <w:numId w:val="2"/>
        </w:numPr>
        <w:spacing w:after="60" w:line="270"/>
      </w:pPr>
      <w:r>
        <w:t xml:space="preserve">Trains 5–6 days/week: ~3 lifts + 3–4 runs/conditioning, sometimes doubles.</w:t>
      </w:r>
    </w:p>
    <w:p>
      <w:pPr>
        <w:pStyle w:val="ListParagraph"/>
        <w:numPr>
          <w:ilvl w:val="0"/>
          <w:numId w:val="2"/>
        </w:numPr>
        <w:spacing w:after="60" w:line="270"/>
      </w:pPr>
      <w:r>
        <w:t xml:space="preserve">Has a race date. Wants to peak strength and engine simultaneously without burning out.</w:t>
      </w:r>
    </w:p>
    <w:p>
      <w:pPr>
        <w:pStyle w:val="ListParagraph"/>
        <w:numPr>
          <w:ilvl w:val="0"/>
          <w:numId w:val="2"/>
        </w:numPr>
        <w:spacing w:after="60" w:line="270"/>
      </w:pPr>
      <w:r>
        <w:t xml:space="preserve">Already uses Strava + a lifting app + sometimes a macro app. Owns a Garmin or Apple Watch.</w:t>
      </w:r>
    </w:p>
    <w:p>
      <w:pPr>
        <w:pStyle w:val="ListParagraph"/>
        <w:numPr>
          <w:ilvl w:val="0"/>
          <w:numId w:val="2"/>
        </w:numPr>
        <w:spacing w:after="60" w:line="270"/>
      </w:pPr>
      <w:r>
        <w:t xml:space="preserve">Pain: "Am I overreaching? Am I eating enough? Did that leg day wreck tomorrow's tempo run?"</w:t>
      </w:r>
    </w:p>
    <w:p>
      <w:pPr>
        <w:pStyle w:val="Heading2"/>
      </w:pPr>
      <w:r>
        <w:t xml:space="preserve">4.2 Primary — the tactical athlete</w:t>
      </w:r>
    </w:p>
    <w:p>
      <w:pPr>
        <w:pStyle w:val="ListParagraph"/>
        <w:numPr>
          <w:ilvl w:val="0"/>
          <w:numId w:val="2"/>
        </w:numPr>
        <w:spacing w:after="60" w:line="270"/>
      </w:pPr>
      <w:r>
        <w:t xml:space="preserve">Military / first-responder / fire. Must pass a fitness test AND be strong/durable on the job.</w:t>
      </w:r>
    </w:p>
    <w:p>
      <w:pPr>
        <w:pStyle w:val="ListParagraph"/>
        <w:numPr>
          <w:ilvl w:val="0"/>
          <w:numId w:val="2"/>
        </w:numPr>
        <w:spacing w:after="60" w:line="270"/>
      </w:pPr>
      <w:r>
        <w:t xml:space="preserve">Irregular schedule, shift work, forced doubles. Recovery is unpredictable.</w:t>
      </w:r>
    </w:p>
    <w:p>
      <w:pPr>
        <w:pStyle w:val="ListParagraph"/>
        <w:numPr>
          <w:ilvl w:val="0"/>
          <w:numId w:val="2"/>
        </w:numPr>
        <w:spacing w:after="60" w:line="270"/>
      </w:pPr>
      <w:r>
        <w:t xml:space="preserve">Pain: managing cumulative load around an unpredictable life, plus fueling a high-output week.</w:t>
      </w:r>
    </w:p>
    <w:p>
      <w:pPr>
        <w:pStyle w:val="Heading2"/>
      </w:pPr>
      <w:r>
        <w:t xml:space="preserve">4.3 Secondary (v2+)</w:t>
      </w:r>
    </w:p>
    <w:p>
      <w:pPr>
        <w:pStyle w:val="ListParagraph"/>
        <w:numPr>
          <w:ilvl w:val="0"/>
          <w:numId w:val="2"/>
        </w:numPr>
        <w:spacing w:after="60" w:line="270"/>
      </w:pPr>
      <w:r>
        <w:t xml:space="preserve">The Nick Bare–style "do-it-all" enthusiast (marathon + 500lb deadlift).</w:t>
      </w:r>
    </w:p>
    <w:p>
      <w:pPr>
        <w:pStyle w:val="ListParagraph"/>
        <w:numPr>
          <w:ilvl w:val="0"/>
          <w:numId w:val="2"/>
        </w:numPr>
        <w:spacing w:after="60" w:line="270"/>
      </w:pPr>
      <w:r>
        <w:t xml:space="preserve">Coaches managing a roster (multi-athlete dashboard — a later monetization path).</w:t>
      </w:r>
    </w:p>
    <w:p>
      <w:pPr>
        <w:pBdr>
          <w:bottom w:val="single" w:color="2E6FB7" w:sz="6" w:space="1"/>
        </w:pBdr>
        <w:spacing w:after="160"/>
      </w:pPr>
      <w:r>
        <w:t xml:space="preserve"/>
      </w:r>
    </w:p>
    <w:p>
      <w:pPr>
        <w:pStyle w:val="Heading1"/>
      </w:pPr>
      <w:r>
        <w:t xml:space="preserve">5. Feature Spec (PRD)</w:t>
      </w:r>
    </w:p>
    <w:p>
      <w:pPr>
        <w:spacing w:after="120" w:line="276"/>
      </w:pPr>
      <w:r>
        <w:t xml:space="preserve">Scope is deliberately tight. The MVP is four things done well: log lifting, log running, show one unified load, and set today's macros from today's sessions.</w:t>
      </w:r>
    </w:p>
    <w:p>
      <w:pPr>
        <w:pStyle w:val="Heading2"/>
      </w:pPr>
      <w:r>
        <w:t xml:space="preserve">5.1 MVP — must-have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900"/>
        <w:gridCol w:w="4200"/>
        <w:gridCol w:w="2760"/>
      </w:tblGrid>
      <w:tr>
        <w:trPr>
          <w:tblHeader/>
        </w:trPr>
        <w:tc>
          <w:tcPr>
            <w:tcW w:type="dxa" w:w="500"/>
            <w:tcBorders>
              <w:top w:val="single" w:color="CCCCCC" w:sz="1"/>
              <w:left w:val="single" w:color="CCCCCC" w:sz="1"/>
              <w:bottom w:val="single" w:color="CCCCCC" w:sz="1"/>
              <w:right w:val="single" w:color="CCCCCC" w:sz="1"/>
            </w:tcBorders>
            <w:shd w:fill="1B2A4A" w:val="clear"/>
            <w:tcMar>
              <w:top w:type="dxa" w:w="70"/>
              <w:left w:type="dxa" w:w="110"/>
              <w:bottom w:type="dxa" w:w="70"/>
              <w:right w:type="dxa" w:w="110"/>
            </w:tcMar>
          </w:tcPr>
          <w:p>
            <w:pPr>
              <w:spacing w:after="0" w:line="264"/>
              <w:jc w:val="left"/>
            </w:pPr>
            <w:r>
              <w:rPr>
                <w:b/>
                <w:bCs/>
                <w:color w:val="FFFFFF"/>
                <w:sz w:val="19"/>
                <w:szCs w:val="19"/>
              </w:rPr>
              <w:t xml:space="preserve">#</w:t>
            </w:r>
          </w:p>
        </w:tc>
        <w:tc>
          <w:tcPr>
            <w:tcW w:type="dxa" w:w="1900"/>
            <w:tcBorders>
              <w:top w:val="single" w:color="CCCCCC" w:sz="1"/>
              <w:left w:val="single" w:color="CCCCCC" w:sz="1"/>
              <w:bottom w:val="single" w:color="CCCCCC" w:sz="1"/>
              <w:right w:val="single" w:color="CCCCCC" w:sz="1"/>
            </w:tcBorders>
            <w:shd w:fill="1B2A4A" w:val="clear"/>
            <w:tcMar>
              <w:top w:type="dxa" w:w="70"/>
              <w:left w:type="dxa" w:w="110"/>
              <w:bottom w:type="dxa" w:w="70"/>
              <w:right w:type="dxa" w:w="110"/>
            </w:tcMar>
          </w:tcPr>
          <w:p>
            <w:pPr>
              <w:spacing w:after="0" w:line="264"/>
              <w:jc w:val="left"/>
            </w:pPr>
            <w:r>
              <w:rPr>
                <w:b/>
                <w:bCs/>
                <w:color w:val="FFFFFF"/>
                <w:sz w:val="19"/>
                <w:szCs w:val="19"/>
              </w:rPr>
              <w:t xml:space="preserve">Feature</w:t>
            </w:r>
          </w:p>
        </w:tc>
        <w:tc>
          <w:tcPr>
            <w:tcW w:type="dxa" w:w="4200"/>
            <w:tcBorders>
              <w:top w:val="single" w:color="CCCCCC" w:sz="1"/>
              <w:left w:val="single" w:color="CCCCCC" w:sz="1"/>
              <w:bottom w:val="single" w:color="CCCCCC" w:sz="1"/>
              <w:right w:val="single" w:color="CCCCCC" w:sz="1"/>
            </w:tcBorders>
            <w:shd w:fill="1B2A4A" w:val="clear"/>
            <w:tcMar>
              <w:top w:type="dxa" w:w="70"/>
              <w:left w:type="dxa" w:w="110"/>
              <w:bottom w:type="dxa" w:w="70"/>
              <w:right w:type="dxa" w:w="110"/>
            </w:tcMar>
          </w:tcPr>
          <w:p>
            <w:pPr>
              <w:spacing w:after="0" w:line="264"/>
              <w:jc w:val="left"/>
            </w:pPr>
            <w:r>
              <w:rPr>
                <w:b/>
                <w:bCs/>
                <w:color w:val="FFFFFF"/>
                <w:sz w:val="19"/>
                <w:szCs w:val="19"/>
              </w:rPr>
              <w:t xml:space="preserve">What it does</w:t>
            </w:r>
          </w:p>
        </w:tc>
        <w:tc>
          <w:tcPr>
            <w:tcW w:type="dxa" w:w="2760"/>
            <w:tcBorders>
              <w:top w:val="single" w:color="CCCCCC" w:sz="1"/>
              <w:left w:val="single" w:color="CCCCCC" w:sz="1"/>
              <w:bottom w:val="single" w:color="CCCCCC" w:sz="1"/>
              <w:right w:val="single" w:color="CCCCCC" w:sz="1"/>
            </w:tcBorders>
            <w:shd w:fill="1B2A4A" w:val="clear"/>
            <w:tcMar>
              <w:top w:type="dxa" w:w="70"/>
              <w:left w:type="dxa" w:w="110"/>
              <w:bottom w:type="dxa" w:w="70"/>
              <w:right w:type="dxa" w:w="110"/>
            </w:tcMar>
          </w:tcPr>
          <w:p>
            <w:pPr>
              <w:spacing w:after="0" w:line="264"/>
              <w:jc w:val="left"/>
            </w:pPr>
            <w:r>
              <w:rPr>
                <w:b/>
                <w:bCs/>
                <w:color w:val="FFFFFF"/>
                <w:sz w:val="19"/>
                <w:szCs w:val="19"/>
              </w:rPr>
              <w:t xml:space="preserve">Why it's in v1</w:t>
            </w:r>
          </w:p>
        </w:tc>
      </w:tr>
      <w:tr>
        <w:trPr>
          <w:tblHeader w:val="false"/>
        </w:trPr>
        <w:tc>
          <w:tcPr>
            <w:tcW w:type="dxa" w:w="500"/>
            <w:tcBorders>
              <w:top w:val="single" w:color="CCCCCC" w:sz="1"/>
              <w:left w:val="single" w:color="CCCCCC" w:sz="1"/>
              <w:bottom w:val="single" w:color="CCCCCC" w:sz="1"/>
              <w:right w:val="single" w:color="CCCCCC" w:sz="1"/>
            </w:tcBorders>
            <w:shd w:fill="EEF3F9" w:val="clear"/>
            <w:tcMar>
              <w:top w:type="dxa" w:w="70"/>
              <w:left w:type="dxa" w:w="110"/>
              <w:bottom w:type="dxa" w:w="70"/>
              <w:right w:type="dxa" w:w="110"/>
            </w:tcMar>
          </w:tcPr>
          <w:p>
            <w:pPr>
              <w:spacing w:after="0" w:line="264"/>
              <w:jc w:val="left"/>
            </w:pPr>
            <w:r>
              <w:rPr>
                <w:b w:val="false"/>
                <w:bCs w:val="false"/>
                <w:color w:val="000000"/>
                <w:sz w:val="19"/>
                <w:szCs w:val="19"/>
              </w:rPr>
              <w:t xml:space="preserve">F1</w:t>
            </w:r>
          </w:p>
        </w:tc>
        <w:tc>
          <w:tcPr>
            <w:tcW w:type="dxa" w:w="1900"/>
            <w:tcBorders>
              <w:top w:val="single" w:color="CCCCCC" w:sz="1"/>
              <w:left w:val="single" w:color="CCCCCC" w:sz="1"/>
              <w:bottom w:val="single" w:color="CCCCCC" w:sz="1"/>
              <w:right w:val="single" w:color="CCCCCC" w:sz="1"/>
            </w:tcBorders>
            <w:shd w:fill="EEF3F9" w:val="clear"/>
            <w:tcMar>
              <w:top w:type="dxa" w:w="70"/>
              <w:left w:type="dxa" w:w="110"/>
              <w:bottom w:type="dxa" w:w="70"/>
              <w:right w:type="dxa" w:w="110"/>
            </w:tcMar>
          </w:tcPr>
          <w:p>
            <w:pPr>
              <w:spacing w:after="0" w:line="264"/>
              <w:jc w:val="left"/>
            </w:pPr>
            <w:r>
              <w:rPr>
                <w:b w:val="false"/>
                <w:bCs w:val="false"/>
                <w:color w:val="000000"/>
                <w:sz w:val="19"/>
                <w:szCs w:val="19"/>
              </w:rPr>
              <w:t xml:space="preserve">Lifting logger</w:t>
            </w:r>
          </w:p>
        </w:tc>
        <w:tc>
          <w:tcPr>
            <w:tcW w:type="dxa" w:w="4200"/>
            <w:tcBorders>
              <w:top w:val="single" w:color="CCCCCC" w:sz="1"/>
              <w:left w:val="single" w:color="CCCCCC" w:sz="1"/>
              <w:bottom w:val="single" w:color="CCCCCC" w:sz="1"/>
              <w:right w:val="single" w:color="CCCCCC" w:sz="1"/>
            </w:tcBorders>
            <w:shd w:fill="EEF3F9" w:val="clear"/>
            <w:tcMar>
              <w:top w:type="dxa" w:w="70"/>
              <w:left w:type="dxa" w:w="110"/>
              <w:bottom w:type="dxa" w:w="70"/>
              <w:right w:type="dxa" w:w="110"/>
            </w:tcMar>
          </w:tcPr>
          <w:p>
            <w:pPr>
              <w:spacing w:after="0" w:line="264"/>
              <w:jc w:val="left"/>
            </w:pPr>
            <w:r>
              <w:rPr>
                <w:b w:val="false"/>
                <w:bCs w:val="false"/>
                <w:color w:val="000000"/>
                <w:sz w:val="19"/>
                <w:szCs w:val="19"/>
              </w:rPr>
              <w:t xml:space="preserve">Exercises, sets, reps, load, RPE, supersets, rest. Fast entry, plate math, PR detection.</w:t>
            </w:r>
          </w:p>
        </w:tc>
        <w:tc>
          <w:tcPr>
            <w:tcW w:type="dxa" w:w="2760"/>
            <w:tcBorders>
              <w:top w:val="single" w:color="CCCCCC" w:sz="1"/>
              <w:left w:val="single" w:color="CCCCCC" w:sz="1"/>
              <w:bottom w:val="single" w:color="CCCCCC" w:sz="1"/>
              <w:right w:val="single" w:color="CCCCCC" w:sz="1"/>
            </w:tcBorders>
            <w:shd w:fill="EEF3F9" w:val="clear"/>
            <w:tcMar>
              <w:top w:type="dxa" w:w="70"/>
              <w:left w:type="dxa" w:w="110"/>
              <w:bottom w:type="dxa" w:w="70"/>
              <w:right w:type="dxa" w:w="110"/>
            </w:tcMar>
          </w:tcPr>
          <w:p>
            <w:pPr>
              <w:spacing w:after="0" w:line="264"/>
              <w:jc w:val="left"/>
            </w:pPr>
            <w:r>
              <w:rPr>
                <w:b w:val="false"/>
                <w:bCs w:val="false"/>
                <w:color w:val="000000"/>
                <w:sz w:val="19"/>
                <w:szCs w:val="19"/>
              </w:rPr>
              <w:t xml:space="preserve">Table stakes vs Strong/Hevy; the daily habit hook</w:t>
            </w:r>
          </w:p>
        </w:tc>
      </w:tr>
      <w:tr>
        <w:trPr>
          <w:tblHeader w:val="false"/>
        </w:trPr>
        <w:tc>
          <w:tcPr>
            <w:tcW w:type="dxa" w:w="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64"/>
              <w:jc w:val="left"/>
            </w:pPr>
            <w:r>
              <w:rPr>
                <w:b w:val="false"/>
                <w:bCs w:val="false"/>
                <w:color w:val="000000"/>
                <w:sz w:val="19"/>
                <w:szCs w:val="19"/>
              </w:rPr>
              <w:t xml:space="preserve">F2</w:t>
            </w:r>
          </w:p>
        </w:tc>
        <w:tc>
          <w:tcPr>
            <w:tcW w:type="dxa" w:w="1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64"/>
              <w:jc w:val="left"/>
            </w:pPr>
            <w:r>
              <w:rPr>
                <w:b w:val="false"/>
                <w:bCs w:val="false"/>
                <w:color w:val="000000"/>
                <w:sz w:val="19"/>
                <w:szCs w:val="19"/>
              </w:rPr>
              <w:t xml:space="preserve">Running / conditioning logger</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64"/>
              <w:jc w:val="left"/>
            </w:pPr>
            <w:r>
              <w:rPr>
                <w:b w:val="false"/>
                <w:bCs w:val="false"/>
                <w:color w:val="000000"/>
                <w:sz w:val="19"/>
                <w:szCs w:val="19"/>
              </w:rPr>
              <w:t xml:space="preserve">Manual + imported runs: distance, duration, pace, HR, splits. Tags for tempo/intervals/Z2/erg/sled.</w:t>
            </w:r>
          </w:p>
        </w:tc>
        <w:tc>
          <w:tcPr>
            <w:tcW w:type="dxa" w:w="2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64"/>
              <w:jc w:val="left"/>
            </w:pPr>
            <w:r>
              <w:rPr>
                <w:b w:val="false"/>
                <w:bCs w:val="false"/>
                <w:color w:val="000000"/>
                <w:sz w:val="19"/>
                <w:szCs w:val="19"/>
              </w:rPr>
              <w:t xml:space="preserve">The other half nobody pairs with lifting</w:t>
            </w:r>
          </w:p>
        </w:tc>
      </w:tr>
      <w:tr>
        <w:trPr>
          <w:tblHeader w:val="false"/>
        </w:trPr>
        <w:tc>
          <w:tcPr>
            <w:tcW w:type="dxa" w:w="500"/>
            <w:tcBorders>
              <w:top w:val="single" w:color="CCCCCC" w:sz="1"/>
              <w:left w:val="single" w:color="CCCCCC" w:sz="1"/>
              <w:bottom w:val="single" w:color="CCCCCC" w:sz="1"/>
              <w:right w:val="single" w:color="CCCCCC" w:sz="1"/>
            </w:tcBorders>
            <w:shd w:fill="EEF3F9" w:val="clear"/>
            <w:tcMar>
              <w:top w:type="dxa" w:w="70"/>
              <w:left w:type="dxa" w:w="110"/>
              <w:bottom w:type="dxa" w:w="70"/>
              <w:right w:type="dxa" w:w="110"/>
            </w:tcMar>
          </w:tcPr>
          <w:p>
            <w:pPr>
              <w:spacing w:after="0" w:line="264"/>
              <w:jc w:val="left"/>
            </w:pPr>
            <w:r>
              <w:rPr>
                <w:b w:val="false"/>
                <w:bCs w:val="false"/>
                <w:color w:val="000000"/>
                <w:sz w:val="19"/>
                <w:szCs w:val="19"/>
              </w:rPr>
              <w:t xml:space="preserve">F3</w:t>
            </w:r>
          </w:p>
        </w:tc>
        <w:tc>
          <w:tcPr>
            <w:tcW w:type="dxa" w:w="1900"/>
            <w:tcBorders>
              <w:top w:val="single" w:color="CCCCCC" w:sz="1"/>
              <w:left w:val="single" w:color="CCCCCC" w:sz="1"/>
              <w:bottom w:val="single" w:color="CCCCCC" w:sz="1"/>
              <w:right w:val="single" w:color="CCCCCC" w:sz="1"/>
            </w:tcBorders>
            <w:shd w:fill="EEF3F9" w:val="clear"/>
            <w:tcMar>
              <w:top w:type="dxa" w:w="70"/>
              <w:left w:type="dxa" w:w="110"/>
              <w:bottom w:type="dxa" w:w="70"/>
              <w:right w:type="dxa" w:w="110"/>
            </w:tcMar>
          </w:tcPr>
          <w:p>
            <w:pPr>
              <w:spacing w:after="0" w:line="264"/>
              <w:jc w:val="left"/>
            </w:pPr>
            <w:r>
              <w:rPr>
                <w:b w:val="false"/>
                <w:bCs w:val="false"/>
                <w:color w:val="000000"/>
                <w:sz w:val="19"/>
                <w:szCs w:val="19"/>
              </w:rPr>
              <w:t xml:space="preserve">Unified load score</w:t>
            </w:r>
          </w:p>
        </w:tc>
        <w:tc>
          <w:tcPr>
            <w:tcW w:type="dxa" w:w="4200"/>
            <w:tcBorders>
              <w:top w:val="single" w:color="CCCCCC" w:sz="1"/>
              <w:left w:val="single" w:color="CCCCCC" w:sz="1"/>
              <w:bottom w:val="single" w:color="CCCCCC" w:sz="1"/>
              <w:right w:val="single" w:color="CCCCCC" w:sz="1"/>
            </w:tcBorders>
            <w:shd w:fill="EEF3F9" w:val="clear"/>
            <w:tcMar>
              <w:top w:type="dxa" w:w="70"/>
              <w:left w:type="dxa" w:w="110"/>
              <w:bottom w:type="dxa" w:w="70"/>
              <w:right w:type="dxa" w:w="110"/>
            </w:tcMar>
          </w:tcPr>
          <w:p>
            <w:pPr>
              <w:spacing w:after="0" w:line="264"/>
              <w:jc w:val="left"/>
            </w:pPr>
            <w:r>
              <w:rPr>
                <w:b w:val="false"/>
                <w:bCs w:val="false"/>
                <w:color w:val="000000"/>
                <w:sz w:val="19"/>
                <w:szCs w:val="19"/>
              </w:rPr>
              <w:t xml:space="preserve">One number per session and per day combining tonnage + endurance stress into a single 'Hybrid Stress Score' (HSS). See §7.</w:t>
            </w:r>
          </w:p>
        </w:tc>
        <w:tc>
          <w:tcPr>
            <w:tcW w:type="dxa" w:w="2760"/>
            <w:tcBorders>
              <w:top w:val="single" w:color="CCCCCC" w:sz="1"/>
              <w:left w:val="single" w:color="CCCCCC" w:sz="1"/>
              <w:bottom w:val="single" w:color="CCCCCC" w:sz="1"/>
              <w:right w:val="single" w:color="CCCCCC" w:sz="1"/>
            </w:tcBorders>
            <w:shd w:fill="EEF3F9" w:val="clear"/>
            <w:tcMar>
              <w:top w:type="dxa" w:w="70"/>
              <w:left w:type="dxa" w:w="110"/>
              <w:bottom w:type="dxa" w:w="70"/>
              <w:right w:type="dxa" w:w="110"/>
            </w:tcMar>
          </w:tcPr>
          <w:p>
            <w:pPr>
              <w:spacing w:after="0" w:line="264"/>
              <w:jc w:val="left"/>
            </w:pPr>
            <w:r>
              <w:rPr>
                <w:b w:val="false"/>
                <w:bCs w:val="false"/>
                <w:color w:val="000000"/>
                <w:sz w:val="19"/>
                <w:szCs w:val="19"/>
              </w:rPr>
              <w:t xml:space="preserve">The moat. The reason to switch.</w:t>
            </w:r>
          </w:p>
        </w:tc>
      </w:tr>
      <w:tr>
        <w:trPr>
          <w:tblHeader w:val="false"/>
        </w:trPr>
        <w:tc>
          <w:tcPr>
            <w:tcW w:type="dxa" w:w="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64"/>
              <w:jc w:val="left"/>
            </w:pPr>
            <w:r>
              <w:rPr>
                <w:b w:val="false"/>
                <w:bCs w:val="false"/>
                <w:color w:val="000000"/>
                <w:sz w:val="19"/>
                <w:szCs w:val="19"/>
              </w:rPr>
              <w:t xml:space="preserve">F4</w:t>
            </w:r>
          </w:p>
        </w:tc>
        <w:tc>
          <w:tcPr>
            <w:tcW w:type="dxa" w:w="1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64"/>
              <w:jc w:val="left"/>
            </w:pPr>
            <w:r>
              <w:rPr>
                <w:b w:val="false"/>
                <w:bCs w:val="false"/>
                <w:color w:val="000000"/>
                <w:sz w:val="19"/>
                <w:szCs w:val="19"/>
              </w:rPr>
              <w:t xml:space="preserve">Readiness / fatigue trend</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64"/>
              <w:jc w:val="left"/>
            </w:pPr>
            <w:r>
              <w:rPr>
                <w:b w:val="false"/>
                <w:bCs w:val="false"/>
                <w:color w:val="000000"/>
                <w:sz w:val="19"/>
                <w:szCs w:val="19"/>
              </w:rPr>
              <w:t xml:space="preserve">Rolling acute vs chronic load (fitness–fatigue), simple readiness band: green/amber/red.</w:t>
            </w:r>
          </w:p>
        </w:tc>
        <w:tc>
          <w:tcPr>
            <w:tcW w:type="dxa" w:w="2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64"/>
              <w:jc w:val="left"/>
            </w:pPr>
            <w:r>
              <w:rPr>
                <w:b w:val="false"/>
                <w:bCs w:val="false"/>
                <w:color w:val="000000"/>
                <w:sz w:val="19"/>
                <w:szCs w:val="19"/>
              </w:rPr>
              <w:t xml:space="preserve">Turns logging into insight; flags overreach</w:t>
            </w:r>
          </w:p>
        </w:tc>
      </w:tr>
      <w:tr>
        <w:trPr>
          <w:tblHeader w:val="false"/>
        </w:trPr>
        <w:tc>
          <w:tcPr>
            <w:tcW w:type="dxa" w:w="500"/>
            <w:tcBorders>
              <w:top w:val="single" w:color="CCCCCC" w:sz="1"/>
              <w:left w:val="single" w:color="CCCCCC" w:sz="1"/>
              <w:bottom w:val="single" w:color="CCCCCC" w:sz="1"/>
              <w:right w:val="single" w:color="CCCCCC" w:sz="1"/>
            </w:tcBorders>
            <w:shd w:fill="EEF3F9" w:val="clear"/>
            <w:tcMar>
              <w:top w:type="dxa" w:w="70"/>
              <w:left w:type="dxa" w:w="110"/>
              <w:bottom w:type="dxa" w:w="70"/>
              <w:right w:type="dxa" w:w="110"/>
            </w:tcMar>
          </w:tcPr>
          <w:p>
            <w:pPr>
              <w:spacing w:after="0" w:line="264"/>
              <w:jc w:val="left"/>
            </w:pPr>
            <w:r>
              <w:rPr>
                <w:b w:val="false"/>
                <w:bCs w:val="false"/>
                <w:color w:val="000000"/>
                <w:sz w:val="19"/>
                <w:szCs w:val="19"/>
              </w:rPr>
              <w:t xml:space="preserve">F5</w:t>
            </w:r>
          </w:p>
        </w:tc>
        <w:tc>
          <w:tcPr>
            <w:tcW w:type="dxa" w:w="1900"/>
            <w:tcBorders>
              <w:top w:val="single" w:color="CCCCCC" w:sz="1"/>
              <w:left w:val="single" w:color="CCCCCC" w:sz="1"/>
              <w:bottom w:val="single" w:color="CCCCCC" w:sz="1"/>
              <w:right w:val="single" w:color="CCCCCC" w:sz="1"/>
            </w:tcBorders>
            <w:shd w:fill="EEF3F9" w:val="clear"/>
            <w:tcMar>
              <w:top w:type="dxa" w:w="70"/>
              <w:left w:type="dxa" w:w="110"/>
              <w:bottom w:type="dxa" w:w="70"/>
              <w:right w:type="dxa" w:w="110"/>
            </w:tcMar>
          </w:tcPr>
          <w:p>
            <w:pPr>
              <w:spacing w:after="0" w:line="264"/>
              <w:jc w:val="left"/>
            </w:pPr>
            <w:r>
              <w:rPr>
                <w:b w:val="false"/>
                <w:bCs w:val="false"/>
                <w:color w:val="000000"/>
                <w:sz w:val="19"/>
                <w:szCs w:val="19"/>
              </w:rPr>
              <w:t xml:space="preserve">Day-type adaptive macros</w:t>
            </w:r>
          </w:p>
        </w:tc>
        <w:tc>
          <w:tcPr>
            <w:tcW w:type="dxa" w:w="4200"/>
            <w:tcBorders>
              <w:top w:val="single" w:color="CCCCCC" w:sz="1"/>
              <w:left w:val="single" w:color="CCCCCC" w:sz="1"/>
              <w:bottom w:val="single" w:color="CCCCCC" w:sz="1"/>
              <w:right w:val="single" w:color="CCCCCC" w:sz="1"/>
            </w:tcBorders>
            <w:shd w:fill="EEF3F9" w:val="clear"/>
            <w:tcMar>
              <w:top w:type="dxa" w:w="70"/>
              <w:left w:type="dxa" w:w="110"/>
              <w:bottom w:type="dxa" w:w="70"/>
              <w:right w:type="dxa" w:w="110"/>
            </w:tcMar>
          </w:tcPr>
          <w:p>
            <w:pPr>
              <w:spacing w:after="0" w:line="264"/>
              <w:jc w:val="left"/>
            </w:pPr>
            <w:r>
              <w:rPr>
                <w:b w:val="false"/>
                <w:bCs w:val="false"/>
                <w:color w:val="000000"/>
                <w:sz w:val="19"/>
                <w:szCs w:val="19"/>
              </w:rPr>
              <w:t xml:space="preserve">Sets daily protein/carb/fat + calorie targets from body weight AND the sessions logged: heavy-lift, long-run, double, rest. See §6.4.</w:t>
            </w:r>
          </w:p>
        </w:tc>
        <w:tc>
          <w:tcPr>
            <w:tcW w:type="dxa" w:w="2760"/>
            <w:tcBorders>
              <w:top w:val="single" w:color="CCCCCC" w:sz="1"/>
              <w:left w:val="single" w:color="CCCCCC" w:sz="1"/>
              <w:bottom w:val="single" w:color="CCCCCC" w:sz="1"/>
              <w:right w:val="single" w:color="CCCCCC" w:sz="1"/>
            </w:tcBorders>
            <w:shd w:fill="EEF3F9" w:val="clear"/>
            <w:tcMar>
              <w:top w:type="dxa" w:w="70"/>
              <w:left w:type="dxa" w:w="110"/>
              <w:bottom w:type="dxa" w:w="70"/>
              <w:right w:type="dxa" w:w="110"/>
            </w:tcMar>
          </w:tcPr>
          <w:p>
            <w:pPr>
              <w:spacing w:after="0" w:line="264"/>
              <w:jc w:val="left"/>
            </w:pPr>
            <w:r>
              <w:rPr>
                <w:b w:val="false"/>
                <w:bCs w:val="false"/>
                <w:color w:val="000000"/>
                <w:sz w:val="19"/>
                <w:szCs w:val="19"/>
              </w:rPr>
              <w:t xml:space="preserve">Unclaimed in-context; the fueling moat</w:t>
            </w:r>
          </w:p>
        </w:tc>
      </w:tr>
      <w:tr>
        <w:trPr>
          <w:tblHeader w:val="false"/>
        </w:trPr>
        <w:tc>
          <w:tcPr>
            <w:tcW w:type="dxa" w:w="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64"/>
              <w:jc w:val="left"/>
            </w:pPr>
            <w:r>
              <w:rPr>
                <w:b w:val="false"/>
                <w:bCs w:val="false"/>
                <w:color w:val="000000"/>
                <w:sz w:val="19"/>
                <w:szCs w:val="19"/>
              </w:rPr>
              <w:t xml:space="preserve">F6</w:t>
            </w:r>
          </w:p>
        </w:tc>
        <w:tc>
          <w:tcPr>
            <w:tcW w:type="dxa" w:w="1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64"/>
              <w:jc w:val="left"/>
            </w:pPr>
            <w:r>
              <w:rPr>
                <w:b w:val="false"/>
                <w:bCs w:val="false"/>
                <w:color w:val="000000"/>
                <w:sz w:val="19"/>
                <w:szCs w:val="19"/>
              </w:rPr>
              <w:t xml:space="preserve">Fast food logging</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64"/>
              <w:jc w:val="left"/>
            </w:pPr>
            <w:r>
              <w:rPr>
                <w:b w:val="false"/>
                <w:bCs w:val="false"/>
                <w:color w:val="000000"/>
                <w:sz w:val="19"/>
                <w:szCs w:val="19"/>
              </w:rPr>
              <w:t xml:space="preserve">Barcode + search + recent/favorites + quick-add macros. Photo/describe entry stretch goal.</w:t>
            </w:r>
          </w:p>
        </w:tc>
        <w:tc>
          <w:tcPr>
            <w:tcW w:type="dxa" w:w="2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64"/>
              <w:jc w:val="left"/>
            </w:pPr>
            <w:r>
              <w:rPr>
                <w:b w:val="false"/>
                <w:bCs w:val="false"/>
                <w:color w:val="000000"/>
                <w:sz w:val="19"/>
                <w:szCs w:val="19"/>
              </w:rPr>
              <w:t xml:space="preserve">Without low-friction logging, nutrition dies</w:t>
            </w:r>
          </w:p>
        </w:tc>
      </w:tr>
      <w:tr>
        <w:trPr>
          <w:tblHeader w:val="false"/>
        </w:trPr>
        <w:tc>
          <w:tcPr>
            <w:tcW w:type="dxa" w:w="500"/>
            <w:tcBorders>
              <w:top w:val="single" w:color="CCCCCC" w:sz="1"/>
              <w:left w:val="single" w:color="CCCCCC" w:sz="1"/>
              <w:bottom w:val="single" w:color="CCCCCC" w:sz="1"/>
              <w:right w:val="single" w:color="CCCCCC" w:sz="1"/>
            </w:tcBorders>
            <w:shd w:fill="EEF3F9" w:val="clear"/>
            <w:tcMar>
              <w:top w:type="dxa" w:w="70"/>
              <w:left w:type="dxa" w:w="110"/>
              <w:bottom w:type="dxa" w:w="70"/>
              <w:right w:type="dxa" w:w="110"/>
            </w:tcMar>
          </w:tcPr>
          <w:p>
            <w:pPr>
              <w:spacing w:after="0" w:line="264"/>
              <w:jc w:val="left"/>
            </w:pPr>
            <w:r>
              <w:rPr>
                <w:b w:val="false"/>
                <w:bCs w:val="false"/>
                <w:color w:val="000000"/>
                <w:sz w:val="19"/>
                <w:szCs w:val="19"/>
              </w:rPr>
              <w:t xml:space="preserve">F7</w:t>
            </w:r>
          </w:p>
        </w:tc>
        <w:tc>
          <w:tcPr>
            <w:tcW w:type="dxa" w:w="1900"/>
            <w:tcBorders>
              <w:top w:val="single" w:color="CCCCCC" w:sz="1"/>
              <w:left w:val="single" w:color="CCCCCC" w:sz="1"/>
              <w:bottom w:val="single" w:color="CCCCCC" w:sz="1"/>
              <w:right w:val="single" w:color="CCCCCC" w:sz="1"/>
            </w:tcBorders>
            <w:shd w:fill="EEF3F9" w:val="clear"/>
            <w:tcMar>
              <w:top w:type="dxa" w:w="70"/>
              <w:left w:type="dxa" w:w="110"/>
              <w:bottom w:type="dxa" w:w="70"/>
              <w:right w:type="dxa" w:w="110"/>
            </w:tcMar>
          </w:tcPr>
          <w:p>
            <w:pPr>
              <w:spacing w:after="0" w:line="264"/>
              <w:jc w:val="left"/>
            </w:pPr>
            <w:r>
              <w:rPr>
                <w:b w:val="false"/>
                <w:bCs w:val="false"/>
                <w:color w:val="000000"/>
                <w:sz w:val="19"/>
                <w:szCs w:val="19"/>
              </w:rPr>
              <w:t xml:space="preserve">Apple Health / Garmin sync</w:t>
            </w:r>
          </w:p>
        </w:tc>
        <w:tc>
          <w:tcPr>
            <w:tcW w:type="dxa" w:w="4200"/>
            <w:tcBorders>
              <w:top w:val="single" w:color="CCCCCC" w:sz="1"/>
              <w:left w:val="single" w:color="CCCCCC" w:sz="1"/>
              <w:bottom w:val="single" w:color="CCCCCC" w:sz="1"/>
              <w:right w:val="single" w:color="CCCCCC" w:sz="1"/>
            </w:tcBorders>
            <w:shd w:fill="EEF3F9" w:val="clear"/>
            <w:tcMar>
              <w:top w:type="dxa" w:w="70"/>
              <w:left w:type="dxa" w:w="110"/>
              <w:bottom w:type="dxa" w:w="70"/>
              <w:right w:type="dxa" w:w="110"/>
            </w:tcMar>
          </w:tcPr>
          <w:p>
            <w:pPr>
              <w:spacing w:after="0" w:line="264"/>
              <w:jc w:val="left"/>
            </w:pPr>
            <w:r>
              <w:rPr>
                <w:b w:val="false"/>
                <w:bCs w:val="false"/>
                <w:color w:val="000000"/>
                <w:sz w:val="19"/>
                <w:szCs w:val="19"/>
              </w:rPr>
              <w:t xml:space="preserve">Pull runs, HR, sleep, body weight. Push workouts back out.</w:t>
            </w:r>
          </w:p>
        </w:tc>
        <w:tc>
          <w:tcPr>
            <w:tcW w:type="dxa" w:w="2760"/>
            <w:tcBorders>
              <w:top w:val="single" w:color="CCCCCC" w:sz="1"/>
              <w:left w:val="single" w:color="CCCCCC" w:sz="1"/>
              <w:bottom w:val="single" w:color="CCCCCC" w:sz="1"/>
              <w:right w:val="single" w:color="CCCCCC" w:sz="1"/>
            </w:tcBorders>
            <w:shd w:fill="EEF3F9" w:val="clear"/>
            <w:tcMar>
              <w:top w:type="dxa" w:w="70"/>
              <w:left w:type="dxa" w:w="110"/>
              <w:bottom w:type="dxa" w:w="70"/>
              <w:right w:type="dxa" w:w="110"/>
            </w:tcMar>
          </w:tcPr>
          <w:p>
            <w:pPr>
              <w:spacing w:after="0" w:line="264"/>
              <w:jc w:val="left"/>
            </w:pPr>
            <w:r>
              <w:rPr>
                <w:b w:val="false"/>
                <w:bCs w:val="false"/>
                <w:color w:val="000000"/>
                <w:sz w:val="19"/>
                <w:szCs w:val="19"/>
              </w:rPr>
              <w:t xml:space="preserve">Hybrid athletes live in this data; reduces entry</w:t>
            </w:r>
          </w:p>
        </w:tc>
      </w:tr>
    </w:tbl>
    <w:p>
      <w:pPr>
        <w:pStyle w:val="Heading2"/>
      </w:pPr>
      <w:r>
        <w:t xml:space="preserve">5.2 Fast-follow (v1.1–v1.2)</w:t>
      </w:r>
    </w:p>
    <w:p>
      <w:pPr>
        <w:pStyle w:val="ListParagraph"/>
        <w:numPr>
          <w:ilvl w:val="0"/>
          <w:numId w:val="2"/>
        </w:numPr>
        <w:spacing w:after="60" w:line="270"/>
      </w:pPr>
      <w:r>
        <w:rPr>
          <w:b/>
          <w:bCs/>
        </w:rPr>
        <w:t xml:space="preserve">Session sequencing warnings</w:t>
      </w:r>
      <w:r>
        <w:t xml:space="preserve"> — flag leg-day-before-tempo conflicts; suggest reordering the week (high/low clustering).</w:t>
      </w:r>
    </w:p>
    <w:p>
      <w:pPr>
        <w:pStyle w:val="ListParagraph"/>
        <w:numPr>
          <w:ilvl w:val="0"/>
          <w:numId w:val="2"/>
        </w:numPr>
        <w:spacing w:after="60" w:line="270"/>
      </w:pPr>
      <w:r>
        <w:rPr>
          <w:b/>
          <w:bCs/>
        </w:rPr>
        <w:t xml:space="preserve">Carb-fueling timing</w:t>
      </w:r>
      <w:r>
        <w:t xml:space="preserve"> — mid-session fueling reminders for efforts &gt;75 min; the double-day between-session meal callout.</w:t>
      </w:r>
    </w:p>
    <w:p>
      <w:pPr>
        <w:pStyle w:val="ListParagraph"/>
        <w:numPr>
          <w:ilvl w:val="0"/>
          <w:numId w:val="2"/>
        </w:numPr>
        <w:spacing w:after="60" w:line="270"/>
      </w:pPr>
      <w:r>
        <w:rPr>
          <w:b/>
          <w:bCs/>
        </w:rPr>
        <w:t xml:space="preserve">Race/test countdown</w:t>
      </w:r>
      <w:r>
        <w:t xml:space="preserve"> — taper and peak view tied to a target date; HYROX division presets.</w:t>
      </w:r>
    </w:p>
    <w:p>
      <w:pPr>
        <w:pStyle w:val="ListParagraph"/>
        <w:numPr>
          <w:ilvl w:val="0"/>
          <w:numId w:val="2"/>
        </w:numPr>
        <w:spacing w:after="60" w:line="270"/>
      </w:pPr>
      <w:r>
        <w:rPr>
          <w:b/>
          <w:bCs/>
        </w:rPr>
        <w:t xml:space="preserve">Hydration &amp; sodium</w:t>
      </w:r>
      <w:r>
        <w:t xml:space="preserve"> — sweat-rate-informed electrolyte targets for high-sweat athletes.</w:t>
      </w:r>
    </w:p>
    <w:p>
      <w:pPr>
        <w:pStyle w:val="Heading2"/>
      </w:pPr>
      <w:r>
        <w:t xml:space="preserve">5.3 Later (v2+)</w:t>
      </w:r>
    </w:p>
    <w:p>
      <w:pPr>
        <w:pStyle w:val="ListParagraph"/>
        <w:numPr>
          <w:ilvl w:val="0"/>
          <w:numId w:val="2"/>
        </w:numPr>
        <w:spacing w:after="60" w:line="270"/>
      </w:pPr>
      <w:r>
        <w:t xml:space="preserve">Adaptive programming layer (this is where you compete with Edge — but only after you own the data).</w:t>
      </w:r>
    </w:p>
    <w:p>
      <w:pPr>
        <w:pStyle w:val="ListParagraph"/>
        <w:numPr>
          <w:ilvl w:val="0"/>
          <w:numId w:val="2"/>
        </w:numPr>
        <w:spacing w:after="60" w:line="270"/>
      </w:pPr>
      <w:r>
        <w:t xml:space="preserve">HRV-guided auto-adjustment of load and macro targets.</w:t>
      </w:r>
    </w:p>
    <w:p>
      <w:pPr>
        <w:pStyle w:val="ListParagraph"/>
        <w:numPr>
          <w:ilvl w:val="0"/>
          <w:numId w:val="2"/>
        </w:numPr>
        <w:spacing w:after="60" w:line="270"/>
      </w:pPr>
      <w:r>
        <w:t xml:space="preserve">Coach/roster multi-athlete dashboard (B2B revenue).</w:t>
      </w:r>
    </w:p>
    <w:p>
      <w:pPr>
        <w:pStyle w:val="ListParagraph"/>
        <w:numPr>
          <w:ilvl w:val="0"/>
          <w:numId w:val="2"/>
        </w:numPr>
        <w:spacing w:after="60" w:line="270"/>
      </w:pPr>
      <w:r>
        <w:t xml:space="preserve">Social / training-partner accountability.</w:t>
      </w:r>
    </w:p>
    <w:p>
      <w:pPr>
        <w:pStyle w:val="Heading2"/>
      </w:pPr>
      <w:r>
        <w:t xml:space="preserve">5.4 Explicit non-goals for MVP</w:t>
      </w:r>
    </w:p>
    <w:p>
      <w:pPr>
        <w:pStyle w:val="ListParagraph"/>
        <w:numPr>
          <w:ilvl w:val="0"/>
          <w:numId w:val="2"/>
        </w:numPr>
        <w:spacing w:after="60" w:line="270"/>
      </w:pPr>
      <w:r>
        <w:t xml:space="preserve">No meal plans or recipes (MacroFactor/FoodCoach territory).</w:t>
      </w:r>
    </w:p>
    <w:p>
      <w:pPr>
        <w:pStyle w:val="ListParagraph"/>
        <w:numPr>
          <w:ilvl w:val="0"/>
          <w:numId w:val="2"/>
        </w:numPr>
        <w:spacing w:after="60" w:line="270"/>
      </w:pPr>
      <w:r>
        <w:t xml:space="preserve">No micronutrient depth at launch (Cronometer's lane) — macros + a few flagged minerals (iron, sodium) only.</w:t>
      </w:r>
    </w:p>
    <w:p>
      <w:pPr>
        <w:pStyle w:val="ListParagraph"/>
        <w:numPr>
          <w:ilvl w:val="0"/>
          <w:numId w:val="2"/>
        </w:numPr>
        <w:spacing w:after="60" w:line="270"/>
      </w:pPr>
      <w:r>
        <w:t xml:space="preserve">No in-app video coaching / form library.</w:t>
      </w:r>
    </w:p>
    <w:p>
      <w:pPr>
        <w:pBdr>
          <w:bottom w:val="single" w:color="2E6FB7" w:sz="6" w:space="1"/>
        </w:pBdr>
        <w:spacing w:after="160"/>
      </w:pPr>
      <w:r>
        <w:t xml:space="preserve"/>
      </w:r>
    </w:p>
    <w:p>
      <w:pPr>
        <w:pStyle w:val="Heading1"/>
      </w:pPr>
      <w:r>
        <w:t xml:space="preserve">6. Nutrition Model</w:t>
      </w:r>
    </w:p>
    <w:p>
      <w:pPr>
        <w:spacing w:after="120" w:line="276"/>
      </w:pPr>
      <w:r>
        <w:t xml:space="preserve">Targets are evidence-anchored and recompute daily from the sessions logged. All values are starting points the user can override; the v2 adaptive layer tunes them against weight trend (MacroFactor-style).</w:t>
      </w:r>
    </w:p>
    <w:p>
      <w:pPr>
        <w:pStyle w:val="Heading2"/>
      </w:pPr>
      <w:r>
        <w:t xml:space="preserve">6.1 Baseline daily macros (per kg bodyweight)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300"/>
        <w:gridCol w:w="4960"/>
      </w:tblGrid>
      <w:tr>
        <w:trPr>
          <w:tblHeader/>
        </w:trPr>
        <w:tc>
          <w:tcPr>
            <w:tcW w:type="dxa" w:w="2100"/>
            <w:tcBorders>
              <w:top w:val="single" w:color="CCCCCC" w:sz="1"/>
              <w:left w:val="single" w:color="CCCCCC" w:sz="1"/>
              <w:bottom w:val="single" w:color="CCCCCC" w:sz="1"/>
              <w:right w:val="single" w:color="CCCCCC" w:sz="1"/>
            </w:tcBorders>
            <w:shd w:fill="1B2A4A" w:val="clear"/>
            <w:tcMar>
              <w:top w:type="dxa" w:w="70"/>
              <w:left w:type="dxa" w:w="110"/>
              <w:bottom w:type="dxa" w:w="70"/>
              <w:right w:type="dxa" w:w="110"/>
            </w:tcMar>
          </w:tcPr>
          <w:p>
            <w:pPr>
              <w:spacing w:after="0" w:line="264"/>
              <w:jc w:val="left"/>
            </w:pPr>
            <w:r>
              <w:rPr>
                <w:b/>
                <w:bCs/>
                <w:color w:val="FFFFFF"/>
                <w:sz w:val="19"/>
                <w:szCs w:val="19"/>
              </w:rPr>
              <w:t xml:space="preserve">Macro</w:t>
            </w:r>
          </w:p>
        </w:tc>
        <w:tc>
          <w:tcPr>
            <w:tcW w:type="dxa" w:w="2300"/>
            <w:tcBorders>
              <w:top w:val="single" w:color="CCCCCC" w:sz="1"/>
              <w:left w:val="single" w:color="CCCCCC" w:sz="1"/>
              <w:bottom w:val="single" w:color="CCCCCC" w:sz="1"/>
              <w:right w:val="single" w:color="CCCCCC" w:sz="1"/>
            </w:tcBorders>
            <w:shd w:fill="1B2A4A" w:val="clear"/>
            <w:tcMar>
              <w:top w:type="dxa" w:w="70"/>
              <w:left w:type="dxa" w:w="110"/>
              <w:bottom w:type="dxa" w:w="70"/>
              <w:right w:type="dxa" w:w="110"/>
            </w:tcMar>
          </w:tcPr>
          <w:p>
            <w:pPr>
              <w:spacing w:after="0" w:line="264"/>
              <w:jc w:val="left"/>
            </w:pPr>
            <w:r>
              <w:rPr>
                <w:b/>
                <w:bCs/>
                <w:color w:val="FFFFFF"/>
                <w:sz w:val="19"/>
                <w:szCs w:val="19"/>
              </w:rPr>
              <w:t xml:space="preserve">Range / day</w:t>
            </w:r>
          </w:p>
        </w:tc>
        <w:tc>
          <w:tcPr>
            <w:tcW w:type="dxa" w:w="4960"/>
            <w:tcBorders>
              <w:top w:val="single" w:color="CCCCCC" w:sz="1"/>
              <w:left w:val="single" w:color="CCCCCC" w:sz="1"/>
              <w:bottom w:val="single" w:color="CCCCCC" w:sz="1"/>
              <w:right w:val="single" w:color="CCCCCC" w:sz="1"/>
            </w:tcBorders>
            <w:shd w:fill="1B2A4A" w:val="clear"/>
            <w:tcMar>
              <w:top w:type="dxa" w:w="70"/>
              <w:left w:type="dxa" w:w="110"/>
              <w:bottom w:type="dxa" w:w="70"/>
              <w:right w:type="dxa" w:w="110"/>
            </w:tcMar>
          </w:tcPr>
          <w:p>
            <w:pPr>
              <w:spacing w:after="0" w:line="264"/>
              <w:jc w:val="left"/>
            </w:pPr>
            <w:r>
              <w:rPr>
                <w:b/>
                <w:bCs/>
                <w:color w:val="FFFFFF"/>
                <w:sz w:val="19"/>
                <w:szCs w:val="19"/>
              </w:rPr>
              <w:t xml:space="preserve">Notes</w:t>
            </w:r>
          </w:p>
        </w:tc>
      </w:tr>
      <w:tr>
        <w:trPr>
          <w:tblHeader w:val="false"/>
        </w:trPr>
        <w:tc>
          <w:tcPr>
            <w:tcW w:type="dxa" w:w="2100"/>
            <w:tcBorders>
              <w:top w:val="single" w:color="CCCCCC" w:sz="1"/>
              <w:left w:val="single" w:color="CCCCCC" w:sz="1"/>
              <w:bottom w:val="single" w:color="CCCCCC" w:sz="1"/>
              <w:right w:val="single" w:color="CCCCCC" w:sz="1"/>
            </w:tcBorders>
            <w:shd w:fill="EEF3F9" w:val="clear"/>
            <w:tcMar>
              <w:top w:type="dxa" w:w="70"/>
              <w:left w:type="dxa" w:w="110"/>
              <w:bottom w:type="dxa" w:w="70"/>
              <w:right w:type="dxa" w:w="110"/>
            </w:tcMar>
          </w:tcPr>
          <w:p>
            <w:pPr>
              <w:spacing w:after="0" w:line="264"/>
              <w:jc w:val="left"/>
            </w:pPr>
            <w:r>
              <w:rPr>
                <w:b w:val="false"/>
                <w:bCs w:val="false"/>
                <w:color w:val="000000"/>
                <w:sz w:val="19"/>
                <w:szCs w:val="19"/>
              </w:rPr>
              <w:t xml:space="preserve">Protein</w:t>
            </w:r>
          </w:p>
        </w:tc>
        <w:tc>
          <w:tcPr>
            <w:tcW w:type="dxa" w:w="2300"/>
            <w:tcBorders>
              <w:top w:val="single" w:color="CCCCCC" w:sz="1"/>
              <w:left w:val="single" w:color="CCCCCC" w:sz="1"/>
              <w:bottom w:val="single" w:color="CCCCCC" w:sz="1"/>
              <w:right w:val="single" w:color="CCCCCC" w:sz="1"/>
            </w:tcBorders>
            <w:shd w:fill="EEF3F9" w:val="clear"/>
            <w:tcMar>
              <w:top w:type="dxa" w:w="70"/>
              <w:left w:type="dxa" w:w="110"/>
              <w:bottom w:type="dxa" w:w="70"/>
              <w:right w:type="dxa" w:w="110"/>
            </w:tcMar>
          </w:tcPr>
          <w:p>
            <w:pPr>
              <w:spacing w:after="0" w:line="264"/>
              <w:jc w:val="left"/>
            </w:pPr>
            <w:r>
              <w:rPr>
                <w:b w:val="false"/>
                <w:bCs w:val="false"/>
                <w:color w:val="000000"/>
                <w:sz w:val="19"/>
                <w:szCs w:val="19"/>
              </w:rPr>
              <w:t xml:space="preserve">1.6 – 2.2 g/kg</w:t>
            </w:r>
          </w:p>
        </w:tc>
        <w:tc>
          <w:tcPr>
            <w:tcW w:type="dxa" w:w="4960"/>
            <w:tcBorders>
              <w:top w:val="single" w:color="CCCCCC" w:sz="1"/>
              <w:left w:val="single" w:color="CCCCCC" w:sz="1"/>
              <w:bottom w:val="single" w:color="CCCCCC" w:sz="1"/>
              <w:right w:val="single" w:color="CCCCCC" w:sz="1"/>
            </w:tcBorders>
            <w:shd w:fill="EEF3F9" w:val="clear"/>
            <w:tcMar>
              <w:top w:type="dxa" w:w="70"/>
              <w:left w:type="dxa" w:w="110"/>
              <w:bottom w:type="dxa" w:w="70"/>
              <w:right w:type="dxa" w:w="110"/>
            </w:tcMar>
          </w:tcPr>
          <w:p>
            <w:pPr>
              <w:spacing w:after="0" w:line="264"/>
              <w:jc w:val="left"/>
            </w:pPr>
            <w:r>
              <w:rPr>
                <w:b w:val="false"/>
                <w:bCs w:val="false"/>
                <w:color w:val="000000"/>
                <w:sz w:val="19"/>
                <w:szCs w:val="19"/>
              </w:rPr>
              <w:t xml:space="preserve">Upper end in high-volume phases. Concurrent training sits high (ISSN).</w:t>
            </w:r>
          </w:p>
        </w:tc>
      </w:tr>
      <w:tr>
        <w:trPr>
          <w:tblHeader w:val="false"/>
        </w:trPr>
        <w:tc>
          <w:tcPr>
            <w:tcW w:type="dxa" w:w="2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64"/>
              <w:jc w:val="left"/>
            </w:pPr>
            <w:r>
              <w:rPr>
                <w:b w:val="false"/>
                <w:bCs w:val="false"/>
                <w:color w:val="000000"/>
                <w:sz w:val="19"/>
                <w:szCs w:val="19"/>
              </w:rPr>
              <w:t xml:space="preserve">Carbohydrate</w:t>
            </w:r>
          </w:p>
        </w:tc>
        <w:tc>
          <w:tcPr>
            <w:tcW w:type="dxa" w:w="2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64"/>
              <w:jc w:val="left"/>
            </w:pPr>
            <w:r>
              <w:rPr>
                <w:b w:val="false"/>
                <w:bCs w:val="false"/>
                <w:color w:val="000000"/>
                <w:sz w:val="19"/>
                <w:szCs w:val="19"/>
              </w:rPr>
              <w:t xml:space="preserve">4 – 7 g/kg</w:t>
            </w:r>
          </w:p>
        </w:tc>
        <w:tc>
          <w:tcPr>
            <w:tcW w:type="dxa" w:w="4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64"/>
              <w:jc w:val="left"/>
            </w:pPr>
            <w:r>
              <w:rPr>
                <w:b w:val="false"/>
                <w:bCs w:val="false"/>
                <w:color w:val="000000"/>
                <w:sz w:val="19"/>
                <w:szCs w:val="19"/>
              </w:rPr>
              <w:t xml:space="preserve">The macro hybrid athletes under-consume. Scales hardest by day type.</w:t>
            </w:r>
          </w:p>
        </w:tc>
      </w:tr>
      <w:tr>
        <w:trPr>
          <w:tblHeader w:val="false"/>
        </w:trPr>
        <w:tc>
          <w:tcPr>
            <w:tcW w:type="dxa" w:w="2100"/>
            <w:tcBorders>
              <w:top w:val="single" w:color="CCCCCC" w:sz="1"/>
              <w:left w:val="single" w:color="CCCCCC" w:sz="1"/>
              <w:bottom w:val="single" w:color="CCCCCC" w:sz="1"/>
              <w:right w:val="single" w:color="CCCCCC" w:sz="1"/>
            </w:tcBorders>
            <w:shd w:fill="EEF3F9" w:val="clear"/>
            <w:tcMar>
              <w:top w:type="dxa" w:w="70"/>
              <w:left w:type="dxa" w:w="110"/>
              <w:bottom w:type="dxa" w:w="70"/>
              <w:right w:type="dxa" w:w="110"/>
            </w:tcMar>
          </w:tcPr>
          <w:p>
            <w:pPr>
              <w:spacing w:after="0" w:line="264"/>
              <w:jc w:val="left"/>
            </w:pPr>
            <w:r>
              <w:rPr>
                <w:b w:val="false"/>
                <w:bCs w:val="false"/>
                <w:color w:val="000000"/>
                <w:sz w:val="19"/>
                <w:szCs w:val="19"/>
              </w:rPr>
              <w:t xml:space="preserve">Fat</w:t>
            </w:r>
          </w:p>
        </w:tc>
        <w:tc>
          <w:tcPr>
            <w:tcW w:type="dxa" w:w="2300"/>
            <w:tcBorders>
              <w:top w:val="single" w:color="CCCCCC" w:sz="1"/>
              <w:left w:val="single" w:color="CCCCCC" w:sz="1"/>
              <w:bottom w:val="single" w:color="CCCCCC" w:sz="1"/>
              <w:right w:val="single" w:color="CCCCCC" w:sz="1"/>
            </w:tcBorders>
            <w:shd w:fill="EEF3F9" w:val="clear"/>
            <w:tcMar>
              <w:top w:type="dxa" w:w="70"/>
              <w:left w:type="dxa" w:w="110"/>
              <w:bottom w:type="dxa" w:w="70"/>
              <w:right w:type="dxa" w:w="110"/>
            </w:tcMar>
          </w:tcPr>
          <w:p>
            <w:pPr>
              <w:spacing w:after="0" w:line="264"/>
              <w:jc w:val="left"/>
            </w:pPr>
            <w:r>
              <w:rPr>
                <w:b w:val="false"/>
                <w:bCs w:val="false"/>
                <w:color w:val="000000"/>
                <w:sz w:val="19"/>
                <w:szCs w:val="19"/>
              </w:rPr>
              <w:t xml:space="preserve">0.8 – 1.2 g/kg</w:t>
            </w:r>
          </w:p>
        </w:tc>
        <w:tc>
          <w:tcPr>
            <w:tcW w:type="dxa" w:w="4960"/>
            <w:tcBorders>
              <w:top w:val="single" w:color="CCCCCC" w:sz="1"/>
              <w:left w:val="single" w:color="CCCCCC" w:sz="1"/>
              <w:bottom w:val="single" w:color="CCCCCC" w:sz="1"/>
              <w:right w:val="single" w:color="CCCCCC" w:sz="1"/>
            </w:tcBorders>
            <w:shd w:fill="EEF3F9" w:val="clear"/>
            <w:tcMar>
              <w:top w:type="dxa" w:w="70"/>
              <w:left w:type="dxa" w:w="110"/>
              <w:bottom w:type="dxa" w:w="70"/>
              <w:right w:type="dxa" w:w="110"/>
            </w:tcMar>
          </w:tcPr>
          <w:p>
            <w:pPr>
              <w:spacing w:after="0" w:line="264"/>
              <w:jc w:val="left"/>
            </w:pPr>
            <w:r>
              <w:rPr>
                <w:b w:val="false"/>
                <w:bCs w:val="false"/>
                <w:color w:val="000000"/>
                <w:sz w:val="19"/>
                <w:szCs w:val="19"/>
              </w:rPr>
              <w:t xml:space="preserve">Do not drop below ~0.7 g/kg (hormonal/recovery cost).</w:t>
            </w:r>
          </w:p>
        </w:tc>
      </w:tr>
    </w:tbl>
    <w:p>
      <w:pPr>
        <w:pStyle w:val="Heading2"/>
      </w:pPr>
      <w:r>
        <w:t xml:space="preserve">6.2 Carb periodization by day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900"/>
        <w:gridCol w:w="4560"/>
      </w:tblGrid>
      <w:tr>
        <w:trPr>
          <w:tblHeader/>
        </w:trPr>
        <w:tc>
          <w:tcPr>
            <w:tcW w:type="dxa" w:w="2900"/>
            <w:tcBorders>
              <w:top w:val="single" w:color="CCCCCC" w:sz="1"/>
              <w:left w:val="single" w:color="CCCCCC" w:sz="1"/>
              <w:bottom w:val="single" w:color="CCCCCC" w:sz="1"/>
              <w:right w:val="single" w:color="CCCCCC" w:sz="1"/>
            </w:tcBorders>
            <w:shd w:fill="1B2A4A" w:val="clear"/>
            <w:tcMar>
              <w:top w:type="dxa" w:w="70"/>
              <w:left w:type="dxa" w:w="110"/>
              <w:bottom w:type="dxa" w:w="70"/>
              <w:right w:type="dxa" w:w="110"/>
            </w:tcMar>
          </w:tcPr>
          <w:p>
            <w:pPr>
              <w:spacing w:after="0" w:line="264"/>
              <w:jc w:val="left"/>
            </w:pPr>
            <w:r>
              <w:rPr>
                <w:b/>
                <w:bCs/>
                <w:color w:val="FFFFFF"/>
                <w:sz w:val="19"/>
                <w:szCs w:val="19"/>
              </w:rPr>
              <w:t xml:space="preserve">Day type</w:t>
            </w:r>
          </w:p>
        </w:tc>
        <w:tc>
          <w:tcPr>
            <w:tcW w:type="dxa" w:w="1900"/>
            <w:tcBorders>
              <w:top w:val="single" w:color="CCCCCC" w:sz="1"/>
              <w:left w:val="single" w:color="CCCCCC" w:sz="1"/>
              <w:bottom w:val="single" w:color="CCCCCC" w:sz="1"/>
              <w:right w:val="single" w:color="CCCCCC" w:sz="1"/>
            </w:tcBorders>
            <w:shd w:fill="1B2A4A" w:val="clear"/>
            <w:tcMar>
              <w:top w:type="dxa" w:w="70"/>
              <w:left w:type="dxa" w:w="110"/>
              <w:bottom w:type="dxa" w:w="70"/>
              <w:right w:type="dxa" w:w="110"/>
            </w:tcMar>
          </w:tcPr>
          <w:p>
            <w:pPr>
              <w:spacing w:after="0" w:line="264"/>
              <w:jc w:val="left"/>
            </w:pPr>
            <w:r>
              <w:rPr>
                <w:b/>
                <w:bCs/>
                <w:color w:val="FFFFFF"/>
                <w:sz w:val="19"/>
                <w:szCs w:val="19"/>
              </w:rPr>
              <w:t xml:space="preserve">Carb target</w:t>
            </w:r>
          </w:p>
        </w:tc>
        <w:tc>
          <w:tcPr>
            <w:tcW w:type="dxa" w:w="4560"/>
            <w:tcBorders>
              <w:top w:val="single" w:color="CCCCCC" w:sz="1"/>
              <w:left w:val="single" w:color="CCCCCC" w:sz="1"/>
              <w:bottom w:val="single" w:color="CCCCCC" w:sz="1"/>
              <w:right w:val="single" w:color="CCCCCC" w:sz="1"/>
            </w:tcBorders>
            <w:shd w:fill="1B2A4A" w:val="clear"/>
            <w:tcMar>
              <w:top w:type="dxa" w:w="70"/>
              <w:left w:type="dxa" w:w="110"/>
              <w:bottom w:type="dxa" w:w="70"/>
              <w:right w:type="dxa" w:w="110"/>
            </w:tcMar>
          </w:tcPr>
          <w:p>
            <w:pPr>
              <w:spacing w:after="0" w:line="264"/>
              <w:jc w:val="left"/>
            </w:pPr>
            <w:r>
              <w:rPr>
                <w:b/>
                <w:bCs/>
                <w:color w:val="FFFFFF"/>
                <w:sz w:val="19"/>
                <w:szCs w:val="19"/>
              </w:rPr>
              <w:t xml:space="preserve">Protein / fat posture</w:t>
            </w:r>
          </w:p>
        </w:tc>
      </w:tr>
      <w:tr>
        <w:trPr>
          <w:tblHeader w:val="false"/>
        </w:trPr>
        <w:tc>
          <w:tcPr>
            <w:tcW w:type="dxa" w:w="2900"/>
            <w:tcBorders>
              <w:top w:val="single" w:color="CCCCCC" w:sz="1"/>
              <w:left w:val="single" w:color="CCCCCC" w:sz="1"/>
              <w:bottom w:val="single" w:color="CCCCCC" w:sz="1"/>
              <w:right w:val="single" w:color="CCCCCC" w:sz="1"/>
            </w:tcBorders>
            <w:shd w:fill="EEF3F9" w:val="clear"/>
            <w:tcMar>
              <w:top w:type="dxa" w:w="70"/>
              <w:left w:type="dxa" w:w="110"/>
              <w:bottom w:type="dxa" w:w="70"/>
              <w:right w:type="dxa" w:w="110"/>
            </w:tcMar>
          </w:tcPr>
          <w:p>
            <w:pPr>
              <w:spacing w:after="0" w:line="264"/>
              <w:jc w:val="left"/>
            </w:pPr>
            <w:r>
              <w:rPr>
                <w:b w:val="false"/>
                <w:bCs w:val="false"/>
                <w:color w:val="000000"/>
                <w:sz w:val="19"/>
                <w:szCs w:val="19"/>
              </w:rPr>
              <w:t xml:space="preserve">Heavy strength day</w:t>
            </w:r>
          </w:p>
        </w:tc>
        <w:tc>
          <w:tcPr>
            <w:tcW w:type="dxa" w:w="1900"/>
            <w:tcBorders>
              <w:top w:val="single" w:color="CCCCCC" w:sz="1"/>
              <w:left w:val="single" w:color="CCCCCC" w:sz="1"/>
              <w:bottom w:val="single" w:color="CCCCCC" w:sz="1"/>
              <w:right w:val="single" w:color="CCCCCC" w:sz="1"/>
            </w:tcBorders>
            <w:shd w:fill="EEF3F9" w:val="clear"/>
            <w:tcMar>
              <w:top w:type="dxa" w:w="70"/>
              <w:left w:type="dxa" w:w="110"/>
              <w:bottom w:type="dxa" w:w="70"/>
              <w:right w:type="dxa" w:w="110"/>
            </w:tcMar>
          </w:tcPr>
          <w:p>
            <w:pPr>
              <w:spacing w:after="0" w:line="264"/>
              <w:jc w:val="left"/>
            </w:pPr>
            <w:r>
              <w:rPr>
                <w:b w:val="false"/>
                <w:bCs w:val="false"/>
                <w:color w:val="000000"/>
                <w:sz w:val="19"/>
                <w:szCs w:val="19"/>
              </w:rPr>
              <w:t xml:space="preserve">4 – 5 g/kg</w:t>
            </w:r>
          </w:p>
        </w:tc>
        <w:tc>
          <w:tcPr>
            <w:tcW w:type="dxa" w:w="4560"/>
            <w:tcBorders>
              <w:top w:val="single" w:color="CCCCCC" w:sz="1"/>
              <w:left w:val="single" w:color="CCCCCC" w:sz="1"/>
              <w:bottom w:val="single" w:color="CCCCCC" w:sz="1"/>
              <w:right w:val="single" w:color="CCCCCC" w:sz="1"/>
            </w:tcBorders>
            <w:shd w:fill="EEF3F9" w:val="clear"/>
            <w:tcMar>
              <w:top w:type="dxa" w:w="70"/>
              <w:left w:type="dxa" w:w="110"/>
              <w:bottom w:type="dxa" w:w="70"/>
              <w:right w:type="dxa" w:w="110"/>
            </w:tcMar>
          </w:tcPr>
          <w:p>
            <w:pPr>
              <w:spacing w:after="0" w:line="264"/>
              <w:jc w:val="left"/>
            </w:pPr>
            <w:r>
              <w:rPr>
                <w:b w:val="false"/>
                <w:bCs w:val="false"/>
                <w:color w:val="000000"/>
                <w:sz w:val="19"/>
                <w:szCs w:val="19"/>
              </w:rPr>
              <w:t xml:space="preserve">Protein high, moderate carbs, moderate fat</w:t>
            </w:r>
          </w:p>
        </w:tc>
      </w:tr>
      <w:tr>
        <w:trPr>
          <w:tblHeader w:val="false"/>
        </w:trPr>
        <w:tc>
          <w:tcPr>
            <w:tcW w:type="dxa" w:w="2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64"/>
              <w:jc w:val="left"/>
            </w:pPr>
            <w:r>
              <w:rPr>
                <w:b w:val="false"/>
                <w:bCs w:val="false"/>
                <w:color w:val="000000"/>
                <w:sz w:val="19"/>
                <w:szCs w:val="19"/>
              </w:rPr>
              <w:t xml:space="preserve">Long-run / high-endurance day</w:t>
            </w:r>
          </w:p>
        </w:tc>
        <w:tc>
          <w:tcPr>
            <w:tcW w:type="dxa" w:w="1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64"/>
              <w:jc w:val="left"/>
            </w:pPr>
            <w:r>
              <w:rPr>
                <w:b w:val="false"/>
                <w:bCs w:val="false"/>
                <w:color w:val="000000"/>
                <w:sz w:val="19"/>
                <w:szCs w:val="19"/>
              </w:rPr>
              <w:t xml:space="preserve">6 – 7 g/kg</w:t>
            </w:r>
          </w:p>
        </w:tc>
        <w:tc>
          <w:tcPr>
            <w:tcW w:type="dxa" w:w="4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64"/>
              <w:jc w:val="left"/>
            </w:pPr>
            <w:r>
              <w:rPr>
                <w:b w:val="false"/>
                <w:bCs w:val="false"/>
                <w:color w:val="000000"/>
                <w:sz w:val="19"/>
                <w:szCs w:val="19"/>
              </w:rPr>
              <w:t xml:space="preserve">Push carbs; fuel mid-session if effort &gt; 75 min</w:t>
            </w:r>
          </w:p>
        </w:tc>
      </w:tr>
      <w:tr>
        <w:trPr>
          <w:tblHeader w:val="false"/>
        </w:trPr>
        <w:tc>
          <w:tcPr>
            <w:tcW w:type="dxa" w:w="2900"/>
            <w:tcBorders>
              <w:top w:val="single" w:color="CCCCCC" w:sz="1"/>
              <w:left w:val="single" w:color="CCCCCC" w:sz="1"/>
              <w:bottom w:val="single" w:color="CCCCCC" w:sz="1"/>
              <w:right w:val="single" w:color="CCCCCC" w:sz="1"/>
            </w:tcBorders>
            <w:shd w:fill="EEF3F9" w:val="clear"/>
            <w:tcMar>
              <w:top w:type="dxa" w:w="70"/>
              <w:left w:type="dxa" w:w="110"/>
              <w:bottom w:type="dxa" w:w="70"/>
              <w:right w:type="dxa" w:w="110"/>
            </w:tcMar>
          </w:tcPr>
          <w:p>
            <w:pPr>
              <w:spacing w:after="0" w:line="264"/>
              <w:jc w:val="left"/>
            </w:pPr>
            <w:r>
              <w:rPr>
                <w:b w:val="false"/>
                <w:bCs w:val="false"/>
                <w:color w:val="000000"/>
                <w:sz w:val="19"/>
                <w:szCs w:val="19"/>
              </w:rPr>
              <w:t xml:space="preserve">Double day (run + lift)</w:t>
            </w:r>
          </w:p>
        </w:tc>
        <w:tc>
          <w:tcPr>
            <w:tcW w:type="dxa" w:w="1900"/>
            <w:tcBorders>
              <w:top w:val="single" w:color="CCCCCC" w:sz="1"/>
              <w:left w:val="single" w:color="CCCCCC" w:sz="1"/>
              <w:bottom w:val="single" w:color="CCCCCC" w:sz="1"/>
              <w:right w:val="single" w:color="CCCCCC" w:sz="1"/>
            </w:tcBorders>
            <w:shd w:fill="EEF3F9" w:val="clear"/>
            <w:tcMar>
              <w:top w:type="dxa" w:w="70"/>
              <w:left w:type="dxa" w:w="110"/>
              <w:bottom w:type="dxa" w:w="70"/>
              <w:right w:type="dxa" w:w="110"/>
            </w:tcMar>
          </w:tcPr>
          <w:p>
            <w:pPr>
              <w:spacing w:after="0" w:line="264"/>
              <w:jc w:val="left"/>
            </w:pPr>
            <w:r>
              <w:rPr>
                <w:b w:val="false"/>
                <w:bCs w:val="false"/>
                <w:color w:val="000000"/>
                <w:sz w:val="19"/>
                <w:szCs w:val="19"/>
              </w:rPr>
              <w:t xml:space="preserve">Upper range</w:t>
            </w:r>
          </w:p>
        </w:tc>
        <w:tc>
          <w:tcPr>
            <w:tcW w:type="dxa" w:w="4560"/>
            <w:tcBorders>
              <w:top w:val="single" w:color="CCCCCC" w:sz="1"/>
              <w:left w:val="single" w:color="CCCCCC" w:sz="1"/>
              <w:bottom w:val="single" w:color="CCCCCC" w:sz="1"/>
              <w:right w:val="single" w:color="CCCCCC" w:sz="1"/>
            </w:tcBorders>
            <w:shd w:fill="EEF3F9" w:val="clear"/>
            <w:tcMar>
              <w:top w:type="dxa" w:w="70"/>
              <w:left w:type="dxa" w:w="110"/>
              <w:bottom w:type="dxa" w:w="70"/>
              <w:right w:type="dxa" w:w="110"/>
            </w:tcMar>
          </w:tcPr>
          <w:p>
            <w:pPr>
              <w:spacing w:after="0" w:line="264"/>
              <w:jc w:val="left"/>
            </w:pPr>
            <w:r>
              <w:rPr>
                <w:b w:val="false"/>
                <w:bCs w:val="false"/>
                <w:color w:val="000000"/>
                <w:sz w:val="19"/>
                <w:szCs w:val="19"/>
              </w:rPr>
              <w:t xml:space="preserve">Between-session meal is the priority window</w:t>
            </w:r>
          </w:p>
        </w:tc>
      </w:tr>
      <w:tr>
        <w:trPr>
          <w:tblHeader w:val="false"/>
        </w:trPr>
        <w:tc>
          <w:tcPr>
            <w:tcW w:type="dxa" w:w="2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64"/>
              <w:jc w:val="left"/>
            </w:pPr>
            <w:r>
              <w:rPr>
                <w:b w:val="false"/>
                <w:bCs w:val="false"/>
                <w:color w:val="000000"/>
                <w:sz w:val="19"/>
                <w:szCs w:val="19"/>
              </w:rPr>
              <w:t xml:space="preserve">Rest day</w:t>
            </w:r>
          </w:p>
        </w:tc>
        <w:tc>
          <w:tcPr>
            <w:tcW w:type="dxa" w:w="1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64"/>
              <w:jc w:val="left"/>
            </w:pPr>
            <w:r>
              <w:rPr>
                <w:b w:val="false"/>
                <w:bCs w:val="false"/>
                <w:color w:val="000000"/>
                <w:sz w:val="19"/>
                <w:szCs w:val="19"/>
              </w:rPr>
              <w:t xml:space="preserve">3 – 4 g/kg</w:t>
            </w:r>
          </w:p>
        </w:tc>
        <w:tc>
          <w:tcPr>
            <w:tcW w:type="dxa" w:w="4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64"/>
              <w:jc w:val="left"/>
            </w:pPr>
            <w:r>
              <w:rPr>
                <w:b w:val="false"/>
                <w:bCs w:val="false"/>
                <w:color w:val="000000"/>
                <w:sz w:val="19"/>
                <w:szCs w:val="19"/>
              </w:rPr>
              <w:t xml:space="preserve">Keep protein high; trim carbs slightly</w:t>
            </w:r>
          </w:p>
        </w:tc>
      </w:tr>
    </w:tbl>
    <w:p>
      <w:pPr>
        <w:pStyle w:val="Heading2"/>
      </w:pPr>
      <w:r>
        <w:t xml:space="preserve">6.3 The hybrid tax (calorie floor)</w:t>
      </w:r>
    </w:p>
    <w:p>
      <w:pPr>
        <w:spacing w:after="120" w:line="276"/>
      </w:pPr>
      <w:r>
        <w:t xml:space="preserve">Under-eating is the #1 hybrid nutrition error. A single run can add 250–1,500 kcal to the day. A 4-lift/3-run week commonly lands at 3,000–4,500 kcal/day. The app should </w:t>
      </w:r>
      <w:r>
        <w:rPr>
          <w:b/>
          <w:bCs/>
        </w:rPr>
        <w:t xml:space="preserve">warn on chronic deficits</w:t>
      </w:r>
      <w:r>
        <w:t xml:space="preserve"> during high-load blocks rather than silently letting a 500 kcal cut sit on top of 25 mi/week + 3 squat sessions.</w:t>
      </w:r>
    </w:p>
    <w:p>
      <w:pPr>
        <w:pStyle w:val="Heading2"/>
      </w:pPr>
      <w:r>
        <w:t xml:space="preserve">6.4 How a daily target is generated</w:t>
      </w:r>
    </w:p>
    <w:p>
      <w:pPr>
        <w:pStyle w:val="ListParagraph"/>
        <w:numPr>
          <w:ilvl w:val="0"/>
          <w:numId w:val="3"/>
        </w:numPr>
        <w:spacing w:after="60" w:line="270"/>
      </w:pPr>
      <w:r>
        <w:t xml:space="preserve">Compute baseline from bodyweight, goal mode (cut / maintain / gain), and a sex/age BMR estimate.</w:t>
      </w:r>
    </w:p>
    <w:p>
      <w:pPr>
        <w:pStyle w:val="ListParagraph"/>
        <w:numPr>
          <w:ilvl w:val="0"/>
          <w:numId w:val="3"/>
        </w:numPr>
        <w:spacing w:after="60" w:line="270"/>
      </w:pPr>
      <w:r>
        <w:t xml:space="preserve">Classify today's logged sessions into a day type (heavy-lift / long-run / double / rest / mixed).</w:t>
      </w:r>
    </w:p>
    <w:p>
      <w:pPr>
        <w:pStyle w:val="ListParagraph"/>
        <w:numPr>
          <w:ilvl w:val="0"/>
          <w:numId w:val="3"/>
        </w:numPr>
        <w:spacing w:after="60" w:line="270"/>
      </w:pPr>
      <w:r>
        <w:t xml:space="preserve">Apply the carb multiplier for that day type; hold protein at the high end during high-load phases.</w:t>
      </w:r>
    </w:p>
    <w:p>
      <w:pPr>
        <w:pStyle w:val="ListParagraph"/>
        <w:numPr>
          <w:ilvl w:val="0"/>
          <w:numId w:val="3"/>
        </w:numPr>
        <w:spacing w:after="60" w:line="270"/>
      </w:pPr>
      <w:r>
        <w:t xml:space="preserve">Add the measured/estimated session expenditure (from HR + duration, or HSS proxy) to the calorie target.</w:t>
      </w:r>
    </w:p>
    <w:p>
      <w:pPr>
        <w:pStyle w:val="ListParagraph"/>
        <w:numPr>
          <w:ilvl w:val="0"/>
          <w:numId w:val="3"/>
        </w:numPr>
        <w:spacing w:after="60" w:line="270"/>
      </w:pPr>
      <w:r>
        <w:t xml:space="preserve">Flag if the resulting intake target implies a deficit during an amber/red readiness window.</w:t>
      </w:r>
    </w:p>
    <w:p>
      <w:pPr>
        <w:pBdr>
          <w:bottom w:val="single" w:color="2E6FB7" w:sz="6" w:space="1"/>
        </w:pBdr>
        <w:spacing w:after="160"/>
      </w:pPr>
      <w:r>
        <w:t xml:space="preserve"/>
      </w:r>
    </w:p>
    <w:p>
      <w:pPr>
        <w:pStyle w:val="Heading1"/>
      </w:pPr>
      <w:r>
        <w:t xml:space="preserve">7. Unified Load Algorithm (the moat)</w:t>
      </w:r>
    </w:p>
    <w:p>
      <w:pPr>
        <w:spacing w:after="120" w:line="276"/>
      </w:pPr>
      <w:r>
        <w:t xml:space="preserve">Goal: one honest number — the </w:t>
      </w:r>
      <w:r>
        <w:rPr>
          <w:b/>
          <w:bCs/>
        </w:rPr>
        <w:t xml:space="preserve">Hybrid Stress Score (HSS)</w:t>
      </w:r>
      <w:r>
        <w:t xml:space="preserve"> — that puts a heavy squat session and a 12 km tempo run on the same axis, so acute and chronic load can be tracked across modalities. This is the defensible IP; the CRUD around it is not.</w:t>
      </w:r>
    </w:p>
    <w:p>
      <w:pPr>
        <w:pStyle w:val="Heading2"/>
      </w:pPr>
      <w:r>
        <w:t xml:space="preserve">7.1 Design principles</w:t>
      </w:r>
    </w:p>
    <w:p>
      <w:pPr>
        <w:pStyle w:val="ListParagraph"/>
        <w:numPr>
          <w:ilvl w:val="0"/>
          <w:numId w:val="2"/>
        </w:numPr>
        <w:spacing w:after="60" w:line="270"/>
      </w:pPr>
      <w:r>
        <w:rPr>
          <w:b/>
          <w:bCs/>
        </w:rPr>
        <w:t xml:space="preserve">One common unit.</w:t>
      </w:r>
      <w:r>
        <w:t xml:space="preserve"> Every session resolves to an HSS in the same scale, regardless of modality.</w:t>
      </w:r>
    </w:p>
    <w:p>
      <w:pPr>
        <w:pStyle w:val="ListParagraph"/>
        <w:numPr>
          <w:ilvl w:val="0"/>
          <w:numId w:val="2"/>
        </w:numPr>
        <w:spacing w:after="60" w:line="270"/>
      </w:pPr>
      <w:r>
        <w:rPr>
          <w:b/>
          <w:bCs/>
        </w:rPr>
        <w:t xml:space="preserve">Borrow proven models, don't reinvent.</w:t>
      </w:r>
      <w:r>
        <w:t xml:space="preserve"> Endurance side leans on established TSS-style intensity-factor math (and the Banister fitness–fatigue / CTL-ATL-TSB framework for trends). Strength side needs its own term.</w:t>
      </w:r>
    </w:p>
    <w:p>
      <w:pPr>
        <w:pStyle w:val="ListParagraph"/>
        <w:numPr>
          <w:ilvl w:val="0"/>
          <w:numId w:val="2"/>
        </w:numPr>
        <w:spacing w:after="60" w:line="270"/>
      </w:pPr>
      <w:r>
        <w:rPr>
          <w:b/>
          <w:bCs/>
        </w:rPr>
        <w:t xml:space="preserve">Tunable, not magic.</w:t>
      </w:r>
      <w:r>
        <w:t xml:space="preserve"> Expose weighting constants so they can be calibrated against real user data; ship sane defaults, learn over time.</w:t>
      </w:r>
    </w:p>
    <w:p>
      <w:pPr>
        <w:pStyle w:val="Heading2"/>
      </w:pPr>
      <w:r>
        <w:t xml:space="preserve">7.2 Endurance stress term</w:t>
      </w:r>
    </w:p>
    <w:p>
      <w:pPr>
        <w:spacing w:after="120" w:line="276"/>
      </w:pPr>
      <w:r>
        <w:t xml:space="preserve">For runs/erg/conditioning, compute an endurance stress score from intensity and duration (intensity factor relative to threshold pace or HR):</w:t>
      </w:r>
    </w:p>
    <w:p>
      <w:pPr>
        <w:shd w:fill="EEF3F9" w:val="clear"/>
        <w:spacing w:after="60" w:before="60"/>
        <w:ind w:left="200"/>
      </w:pPr>
      <w:r>
        <w:rPr>
          <w:rFonts w:ascii="Consolas" w:cs="Consolas" w:eastAsia="Consolas" w:hAnsi="Consolas"/>
          <w:b/>
          <w:bCs/>
          <w:color w:val="1B2A4A"/>
          <w:sz w:val="22"/>
          <w:szCs w:val="22"/>
        </w:rPr>
        <w:t xml:space="preserve">ES = duration_min × IF²  ×  k_e</w:t>
      </w:r>
    </w:p>
    <w:p>
      <w:pPr>
        <w:spacing w:after="120" w:line="276"/>
      </w:pPr>
      <w:r>
        <w:t xml:space="preserve">where </w:t>
      </w:r>
      <w:r>
        <w:rPr>
          <w:b/>
          <w:bCs/>
        </w:rPr>
        <w:t xml:space="preserve">IF</w:t>
      </w:r>
      <w:r>
        <w:t xml:space="preserve"> = intensity factor (work HR or pace ÷ threshold), and </w:t>
      </w:r>
      <w:r>
        <w:rPr>
          <w:b/>
          <w:bCs/>
        </w:rPr>
        <w:t xml:space="preserve">k_e</w:t>
      </w:r>
      <w:r>
        <w:t xml:space="preserve"> scales it onto the HSS axis. Erg/sled work uses HR-based IF when pace isn't meaningful.</w:t>
      </w:r>
    </w:p>
    <w:p>
      <w:pPr>
        <w:pStyle w:val="Heading2"/>
      </w:pPr>
      <w:r>
        <w:t xml:space="preserve">7.3 Strength stress term</w:t>
      </w:r>
    </w:p>
    <w:p>
      <w:pPr>
        <w:spacing w:after="120" w:line="276"/>
      </w:pPr>
      <w:r>
        <w:t xml:space="preserve">For lifting, derive a stress term from relative intensity, volume, and proximity to failure (RPE). A workable starting form:</w:t>
      </w:r>
    </w:p>
    <w:p>
      <w:pPr>
        <w:shd w:fill="EEF3F9" w:val="clear"/>
        <w:spacing w:after="60" w:before="60"/>
        <w:ind w:left="200"/>
      </w:pPr>
      <w:r>
        <w:rPr>
          <w:rFonts w:ascii="Consolas" w:cs="Consolas" w:eastAsia="Consolas" w:hAnsi="Consolas"/>
          <w:b/>
          <w:bCs/>
          <w:color w:val="1B2A4A"/>
          <w:sz w:val="22"/>
          <w:szCs w:val="22"/>
        </w:rPr>
        <w:t xml:space="preserve">SS = Σ_sets ( load/e1RM  ×  reps  ×  rpe_factor )  ×  k_s</w:t>
      </w:r>
    </w:p>
    <w:p>
      <w:pPr>
        <w:spacing w:after="120" w:line="276"/>
      </w:pPr>
      <w:r>
        <w:t xml:space="preserve">where </w:t>
      </w:r>
      <w:r>
        <w:rPr>
          <w:b/>
          <w:bCs/>
        </w:rPr>
        <w:t xml:space="preserve">load/e1RM</w:t>
      </w:r>
      <w:r>
        <w:t xml:space="preserve"> is relative intensity per set, </w:t>
      </w:r>
      <w:r>
        <w:rPr>
          <w:b/>
          <w:bCs/>
        </w:rPr>
        <w:t xml:space="preserve">rpe_factor</w:t>
      </w:r>
      <w:r>
        <w:t xml:space="preserve"> weights proximity to failure, and </w:t>
      </w:r>
      <w:r>
        <w:rPr>
          <w:b/>
          <w:bCs/>
        </w:rPr>
        <w:t xml:space="preserve">k_s</w:t>
      </w:r>
      <w:r>
        <w:t xml:space="preserve"> scales onto the HSS axis. A leg-dominant multiplier accounts for the outsized systemic/running cost of heavy lower-body work.</w:t>
      </w:r>
    </w:p>
    <w:p>
      <w:pPr>
        <w:pStyle w:val="Heading2"/>
      </w:pPr>
      <w:r>
        <w:t xml:space="preserve">7.4 Combine + trend</w:t>
      </w:r>
    </w:p>
    <w:p>
      <w:pPr>
        <w:pStyle w:val="ListParagraph"/>
        <w:numPr>
          <w:ilvl w:val="0"/>
          <w:numId w:val="2"/>
        </w:numPr>
        <w:spacing w:after="60" w:line="270"/>
      </w:pPr>
      <w:r>
        <w:rPr>
          <w:b/>
          <w:bCs/>
        </w:rPr>
        <w:t xml:space="preserve">Per session:</w:t>
      </w:r>
      <w:r>
        <w:t xml:space="preserve"> HSS = ES or SS (whichever modality). </w:t>
      </w:r>
      <w:r>
        <w:rPr>
          <w:b/>
          <w:bCs/>
        </w:rPr>
        <w:t xml:space="preserve">Per day:</w:t>
      </w:r>
      <w:r>
        <w:t xml:space="preserve"> sum, with a small same-day double-session penalty (compounding fatigue).</w:t>
      </w:r>
    </w:p>
    <w:p>
      <w:pPr>
        <w:pStyle w:val="ListParagraph"/>
        <w:numPr>
          <w:ilvl w:val="0"/>
          <w:numId w:val="2"/>
        </w:numPr>
        <w:spacing w:after="60" w:line="270"/>
      </w:pPr>
      <w:r>
        <w:rPr>
          <w:b/>
          <w:bCs/>
        </w:rPr>
        <w:t xml:space="preserve">Acute load (ATL):</w:t>
      </w:r>
      <w:r>
        <w:t xml:space="preserve"> ~7-day exponentially-weighted HSS. </w:t>
      </w:r>
      <w:r>
        <w:rPr>
          <w:b/>
          <w:bCs/>
        </w:rPr>
        <w:t xml:space="preserve">Chronic load (CTL):</w:t>
      </w:r>
      <w:r>
        <w:t xml:space="preserve"> ~28–42-day EW HSS.</w:t>
      </w:r>
    </w:p>
    <w:p>
      <w:pPr>
        <w:pStyle w:val="ListParagraph"/>
        <w:numPr>
          <w:ilvl w:val="0"/>
          <w:numId w:val="2"/>
        </w:numPr>
        <w:spacing w:after="60" w:line="270"/>
      </w:pPr>
      <w:r>
        <w:rPr>
          <w:b/>
          <w:bCs/>
        </w:rPr>
        <w:t xml:space="preserve">Readiness (TSB-style):</w:t>
      </w:r>
      <w:r>
        <w:t xml:space="preserve"> CTL − ATL, surfaced as green/amber/red. Large negative swings = overreaching warning.</w:t>
      </w:r>
    </w:p>
    <w:p>
      <w:pPr>
        <w:pStyle w:val="ListParagraph"/>
        <w:numPr>
          <w:ilvl w:val="0"/>
          <w:numId w:val="2"/>
        </w:numPr>
        <w:spacing w:after="60" w:line="270"/>
      </w:pPr>
      <w:r>
        <w:rPr>
          <w:b/>
          <w:bCs/>
        </w:rPr>
        <w:t xml:space="preserve">Interference flag:</w:t>
      </w:r>
      <w:r>
        <w:t xml:space="preserve"> high endurance ES stacked on a heavy leg SS within 24h triggers a sequencing nudge.</w:t>
      </w:r>
    </w:p>
    <w:p>
      <w:pPr>
        <w:pStyle w:val="Heading2"/>
      </w:pPr>
      <w:r>
        <w:t xml:space="preserve">7.5 Calibration path</w:t>
      </w:r>
    </w:p>
    <w:p>
      <w:pPr>
        <w:pStyle w:val="ListParagraph"/>
        <w:numPr>
          <w:ilvl w:val="0"/>
          <w:numId w:val="2"/>
        </w:numPr>
        <w:spacing w:after="60" w:line="270"/>
      </w:pPr>
      <w:r>
        <w:t xml:space="preserve">Ship defaults from literature; log raw components so constants (k_e, k_s, leg multiplier, EW time constants) can be re-fit later.</w:t>
      </w:r>
    </w:p>
    <w:p>
      <w:pPr>
        <w:pStyle w:val="ListParagraph"/>
        <w:numPr>
          <w:ilvl w:val="0"/>
          <w:numId w:val="2"/>
        </w:numPr>
        <w:spacing w:after="60" w:line="270"/>
      </w:pPr>
      <w:r>
        <w:t xml:space="preserve">Validate HSS against perceived recovery (a quick morning readiness tap) and against weight-trend/performance once data accumulates.</w:t>
      </w:r>
    </w:p>
    <w:p>
      <w:pPr>
        <w:pBdr>
          <w:bottom w:val="single" w:color="2E6FB7" w:sz="6" w:space="1"/>
        </w:pBdr>
        <w:spacing w:after="160"/>
      </w:pPr>
      <w:r>
        <w:t xml:space="preserve"/>
      </w:r>
    </w:p>
    <w:p>
      <w:pPr>
        <w:pStyle w:val="Heading1"/>
      </w:pPr>
      <w:r>
        <w:t xml:space="preserve">8. Data Model</w:t>
      </w:r>
    </w:p>
    <w:p>
      <w:pPr>
        <w:spacing w:after="120" w:line="276"/>
      </w:pPr>
      <w:r>
        <w:t xml:space="preserve">Relational core (Postgres). IDs are UUIDs; timestamps are UTC; all training/intake rows carry a local_date for day-type rollups. Below is the logical schema — the entities and the fields that matter, not every column.</w:t>
      </w:r>
    </w:p>
    <w:p>
      <w:pPr>
        <w:pStyle w:val="Heading2"/>
      </w:pPr>
      <w:r>
        <w:t xml:space="preserve">8.1 Core entities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900"/>
        <w:gridCol w:w="3300"/>
        <w:gridCol w:w="3560"/>
      </w:tblGrid>
      <w:tr>
        <w:trPr>
          <w:tblHeader/>
        </w:trPr>
        <w:tc>
          <w:tcPr>
            <w:tcW w:type="dxa" w:w="1900"/>
            <w:tcBorders>
              <w:top w:val="single" w:color="CCCCCC" w:sz="1"/>
              <w:left w:val="single" w:color="CCCCCC" w:sz="1"/>
              <w:bottom w:val="single" w:color="CCCCCC" w:sz="1"/>
              <w:right w:val="single" w:color="CCCCCC" w:sz="1"/>
            </w:tcBorders>
            <w:shd w:fill="1B2A4A" w:val="clear"/>
            <w:tcMar>
              <w:top w:type="dxa" w:w="70"/>
              <w:left w:type="dxa" w:w="110"/>
              <w:bottom w:type="dxa" w:w="70"/>
              <w:right w:type="dxa" w:w="110"/>
            </w:tcMar>
          </w:tcPr>
          <w:p>
            <w:pPr>
              <w:spacing w:after="0" w:line="264"/>
              <w:jc w:val="left"/>
            </w:pPr>
            <w:r>
              <w:rPr>
                <w:b/>
                <w:bCs/>
                <w:color w:val="FFFFFF"/>
                <w:sz w:val="19"/>
                <w:szCs w:val="19"/>
              </w:rPr>
              <w:t xml:space="preserve">Entity</w:t>
            </w:r>
          </w:p>
        </w:tc>
        <w:tc>
          <w:tcPr>
            <w:tcW w:type="dxa" w:w="3300"/>
            <w:tcBorders>
              <w:top w:val="single" w:color="CCCCCC" w:sz="1"/>
              <w:left w:val="single" w:color="CCCCCC" w:sz="1"/>
              <w:bottom w:val="single" w:color="CCCCCC" w:sz="1"/>
              <w:right w:val="single" w:color="CCCCCC" w:sz="1"/>
            </w:tcBorders>
            <w:shd w:fill="1B2A4A" w:val="clear"/>
            <w:tcMar>
              <w:top w:type="dxa" w:w="70"/>
              <w:left w:type="dxa" w:w="110"/>
              <w:bottom w:type="dxa" w:w="70"/>
              <w:right w:type="dxa" w:w="110"/>
            </w:tcMar>
          </w:tcPr>
          <w:p>
            <w:pPr>
              <w:spacing w:after="0" w:line="264"/>
              <w:jc w:val="left"/>
            </w:pPr>
            <w:r>
              <w:rPr>
                <w:b/>
                <w:bCs/>
                <w:color w:val="FFFFFF"/>
                <w:sz w:val="19"/>
                <w:szCs w:val="19"/>
              </w:rPr>
              <w:t xml:space="preserve">Key fields</w:t>
            </w:r>
          </w:p>
        </w:tc>
        <w:tc>
          <w:tcPr>
            <w:tcW w:type="dxa" w:w="3560"/>
            <w:tcBorders>
              <w:top w:val="single" w:color="CCCCCC" w:sz="1"/>
              <w:left w:val="single" w:color="CCCCCC" w:sz="1"/>
              <w:bottom w:val="single" w:color="CCCCCC" w:sz="1"/>
              <w:right w:val="single" w:color="CCCCCC" w:sz="1"/>
            </w:tcBorders>
            <w:shd w:fill="1B2A4A" w:val="clear"/>
            <w:tcMar>
              <w:top w:type="dxa" w:w="70"/>
              <w:left w:type="dxa" w:w="110"/>
              <w:bottom w:type="dxa" w:w="70"/>
              <w:right w:type="dxa" w:w="110"/>
            </w:tcMar>
          </w:tcPr>
          <w:p>
            <w:pPr>
              <w:spacing w:after="0" w:line="264"/>
              <w:jc w:val="left"/>
            </w:pPr>
            <w:r>
              <w:rPr>
                <w:b/>
                <w:bCs/>
                <w:color w:val="FFFFFF"/>
                <w:sz w:val="19"/>
                <w:szCs w:val="19"/>
              </w:rPr>
              <w:t xml:space="preserve">Notes</w:t>
            </w:r>
          </w:p>
        </w:tc>
      </w:tr>
      <w:tr>
        <w:trPr>
          <w:tblHeader w:val="false"/>
        </w:trPr>
        <w:tc>
          <w:tcPr>
            <w:tcW w:type="dxa" w:w="1900"/>
            <w:tcBorders>
              <w:top w:val="single" w:color="CCCCCC" w:sz="1"/>
              <w:left w:val="single" w:color="CCCCCC" w:sz="1"/>
              <w:bottom w:val="single" w:color="CCCCCC" w:sz="1"/>
              <w:right w:val="single" w:color="CCCCCC" w:sz="1"/>
            </w:tcBorders>
            <w:shd w:fill="EEF3F9" w:val="clear"/>
            <w:tcMar>
              <w:top w:type="dxa" w:w="70"/>
              <w:left w:type="dxa" w:w="110"/>
              <w:bottom w:type="dxa" w:w="70"/>
              <w:right w:type="dxa" w:w="110"/>
            </w:tcMar>
          </w:tcPr>
          <w:p>
            <w:pPr>
              <w:spacing w:after="0" w:line="264"/>
              <w:jc w:val="left"/>
            </w:pPr>
            <w:r>
              <w:rPr>
                <w:b w:val="false"/>
                <w:bCs w:val="false"/>
                <w:color w:val="000000"/>
                <w:sz w:val="19"/>
                <w:szCs w:val="19"/>
              </w:rPr>
              <w:t xml:space="preserve">user</w:t>
            </w:r>
          </w:p>
        </w:tc>
        <w:tc>
          <w:tcPr>
            <w:tcW w:type="dxa" w:w="3300"/>
            <w:tcBorders>
              <w:top w:val="single" w:color="CCCCCC" w:sz="1"/>
              <w:left w:val="single" w:color="CCCCCC" w:sz="1"/>
              <w:bottom w:val="single" w:color="CCCCCC" w:sz="1"/>
              <w:right w:val="single" w:color="CCCCCC" w:sz="1"/>
            </w:tcBorders>
            <w:shd w:fill="EEF3F9" w:val="clear"/>
            <w:tcMar>
              <w:top w:type="dxa" w:w="70"/>
              <w:left w:type="dxa" w:w="110"/>
              <w:bottom w:type="dxa" w:w="70"/>
              <w:right w:type="dxa" w:w="110"/>
            </w:tcMar>
          </w:tcPr>
          <w:p>
            <w:pPr>
              <w:spacing w:after="0" w:line="264"/>
              <w:jc w:val="left"/>
            </w:pPr>
            <w:r>
              <w:rPr>
                <w:b w:val="false"/>
                <w:bCs w:val="false"/>
                <w:color w:val="000000"/>
                <w:sz w:val="19"/>
                <w:szCs w:val="19"/>
              </w:rPr>
              <w:t xml:space="preserve">id, email, sex, birth_date, units, goal_mode</w:t>
            </w:r>
          </w:p>
        </w:tc>
        <w:tc>
          <w:tcPr>
            <w:tcW w:type="dxa" w:w="3560"/>
            <w:tcBorders>
              <w:top w:val="single" w:color="CCCCCC" w:sz="1"/>
              <w:left w:val="single" w:color="CCCCCC" w:sz="1"/>
              <w:bottom w:val="single" w:color="CCCCCC" w:sz="1"/>
              <w:right w:val="single" w:color="CCCCCC" w:sz="1"/>
            </w:tcBorders>
            <w:shd w:fill="EEF3F9" w:val="clear"/>
            <w:tcMar>
              <w:top w:type="dxa" w:w="70"/>
              <w:left w:type="dxa" w:w="110"/>
              <w:bottom w:type="dxa" w:w="70"/>
              <w:right w:type="dxa" w:w="110"/>
            </w:tcMar>
          </w:tcPr>
          <w:p>
            <w:pPr>
              <w:spacing w:after="0" w:line="264"/>
              <w:jc w:val="left"/>
            </w:pPr>
            <w:r>
              <w:rPr>
                <w:b w:val="false"/>
                <w:bCs w:val="false"/>
                <w:color w:val="000000"/>
                <w:sz w:val="19"/>
                <w:szCs w:val="19"/>
              </w:rPr>
              <w:t xml:space="preserve">goal_mode: cut/maintain/gain</w:t>
            </w:r>
          </w:p>
        </w:tc>
      </w:tr>
      <w:tr>
        <w:trPr>
          <w:tblHeader w:val="false"/>
        </w:trPr>
        <w:tc>
          <w:tcPr>
            <w:tcW w:type="dxa" w:w="1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64"/>
              <w:jc w:val="left"/>
            </w:pPr>
            <w:r>
              <w:rPr>
                <w:b w:val="false"/>
                <w:bCs w:val="false"/>
                <w:color w:val="000000"/>
                <w:sz w:val="19"/>
                <w:szCs w:val="19"/>
              </w:rPr>
              <w:t xml:space="preserve">body_metric</w:t>
            </w:r>
          </w:p>
        </w:tc>
        <w:tc>
          <w:tcPr>
            <w:tcW w:type="dxa" w:w="3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64"/>
              <w:jc w:val="left"/>
            </w:pPr>
            <w:r>
              <w:rPr>
                <w:b w:val="false"/>
                <w:bCs w:val="false"/>
                <w:color w:val="000000"/>
                <w:sz w:val="19"/>
                <w:szCs w:val="19"/>
              </w:rPr>
              <w:t xml:space="preserve">id, user_id, date, weight, bodyfat?, resting_hr?, hrv?</w:t>
            </w:r>
          </w:p>
        </w:tc>
        <w:tc>
          <w:tcPr>
            <w:tcW w:type="dxa" w:w="3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64"/>
              <w:jc w:val="left"/>
            </w:pPr>
            <w:r>
              <w:rPr>
                <w:b w:val="false"/>
                <w:bCs w:val="false"/>
                <w:color w:val="000000"/>
                <w:sz w:val="19"/>
                <w:szCs w:val="19"/>
              </w:rPr>
              <w:t xml:space="preserve">One row/day; feeds BMR + adaptive targets</w:t>
            </w:r>
          </w:p>
        </w:tc>
      </w:tr>
      <w:tr>
        <w:trPr>
          <w:tblHeader w:val="false"/>
        </w:trPr>
        <w:tc>
          <w:tcPr>
            <w:tcW w:type="dxa" w:w="1900"/>
            <w:tcBorders>
              <w:top w:val="single" w:color="CCCCCC" w:sz="1"/>
              <w:left w:val="single" w:color="CCCCCC" w:sz="1"/>
              <w:bottom w:val="single" w:color="CCCCCC" w:sz="1"/>
              <w:right w:val="single" w:color="CCCCCC" w:sz="1"/>
            </w:tcBorders>
            <w:shd w:fill="EEF3F9" w:val="clear"/>
            <w:tcMar>
              <w:top w:type="dxa" w:w="70"/>
              <w:left w:type="dxa" w:w="110"/>
              <w:bottom w:type="dxa" w:w="70"/>
              <w:right w:type="dxa" w:w="110"/>
            </w:tcMar>
          </w:tcPr>
          <w:p>
            <w:pPr>
              <w:spacing w:after="0" w:line="264"/>
              <w:jc w:val="left"/>
            </w:pPr>
            <w:r>
              <w:rPr>
                <w:b w:val="false"/>
                <w:bCs w:val="false"/>
                <w:color w:val="000000"/>
                <w:sz w:val="19"/>
                <w:szCs w:val="19"/>
              </w:rPr>
              <w:t xml:space="preserve">athlete_profile</w:t>
            </w:r>
          </w:p>
        </w:tc>
        <w:tc>
          <w:tcPr>
            <w:tcW w:type="dxa" w:w="3300"/>
            <w:tcBorders>
              <w:top w:val="single" w:color="CCCCCC" w:sz="1"/>
              <w:left w:val="single" w:color="CCCCCC" w:sz="1"/>
              <w:bottom w:val="single" w:color="CCCCCC" w:sz="1"/>
              <w:right w:val="single" w:color="CCCCCC" w:sz="1"/>
            </w:tcBorders>
            <w:shd w:fill="EEF3F9" w:val="clear"/>
            <w:tcMar>
              <w:top w:type="dxa" w:w="70"/>
              <w:left w:type="dxa" w:w="110"/>
              <w:bottom w:type="dxa" w:w="70"/>
              <w:right w:type="dxa" w:w="110"/>
            </w:tcMar>
          </w:tcPr>
          <w:p>
            <w:pPr>
              <w:spacing w:after="0" w:line="264"/>
              <w:jc w:val="left"/>
            </w:pPr>
            <w:r>
              <w:rPr>
                <w:b w:val="false"/>
                <w:bCs w:val="false"/>
                <w:color w:val="000000"/>
                <w:sz w:val="19"/>
                <w:szCs w:val="19"/>
              </w:rPr>
              <w:t xml:space="preserve">user_id, threshold_pace, threshold_hr, e1rm_json, target_event_id?</w:t>
            </w:r>
          </w:p>
        </w:tc>
        <w:tc>
          <w:tcPr>
            <w:tcW w:type="dxa" w:w="3560"/>
            <w:tcBorders>
              <w:top w:val="single" w:color="CCCCCC" w:sz="1"/>
              <w:left w:val="single" w:color="CCCCCC" w:sz="1"/>
              <w:bottom w:val="single" w:color="CCCCCC" w:sz="1"/>
              <w:right w:val="single" w:color="CCCCCC" w:sz="1"/>
            </w:tcBorders>
            <w:shd w:fill="EEF3F9" w:val="clear"/>
            <w:tcMar>
              <w:top w:type="dxa" w:w="70"/>
              <w:left w:type="dxa" w:w="110"/>
              <w:bottom w:type="dxa" w:w="70"/>
              <w:right w:type="dxa" w:w="110"/>
            </w:tcMar>
          </w:tcPr>
          <w:p>
            <w:pPr>
              <w:spacing w:after="0" w:line="264"/>
              <w:jc w:val="left"/>
            </w:pPr>
            <w:r>
              <w:rPr>
                <w:b w:val="false"/>
                <w:bCs w:val="false"/>
                <w:color w:val="000000"/>
                <w:sz w:val="19"/>
                <w:szCs w:val="19"/>
              </w:rPr>
              <w:t xml:space="preserve">Thresholds drive IF; e1RM map drives strength intensity</w:t>
            </w:r>
          </w:p>
        </w:tc>
      </w:tr>
      <w:tr>
        <w:trPr>
          <w:tblHeader w:val="false"/>
        </w:trPr>
        <w:tc>
          <w:tcPr>
            <w:tcW w:type="dxa" w:w="1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64"/>
              <w:jc w:val="left"/>
            </w:pPr>
            <w:r>
              <w:rPr>
                <w:b w:val="false"/>
                <w:bCs w:val="false"/>
                <w:color w:val="000000"/>
                <w:sz w:val="19"/>
                <w:szCs w:val="19"/>
              </w:rPr>
              <w:t xml:space="preserve">workout</w:t>
            </w:r>
          </w:p>
        </w:tc>
        <w:tc>
          <w:tcPr>
            <w:tcW w:type="dxa" w:w="3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64"/>
              <w:jc w:val="left"/>
            </w:pPr>
            <w:r>
              <w:rPr>
                <w:b w:val="false"/>
                <w:bCs w:val="false"/>
                <w:color w:val="000000"/>
                <w:sz w:val="19"/>
                <w:szCs w:val="19"/>
              </w:rPr>
              <w:t xml:space="preserve">id, user_id, local_date, type, started_at, duration_s, hss, source</w:t>
            </w:r>
          </w:p>
        </w:tc>
        <w:tc>
          <w:tcPr>
            <w:tcW w:type="dxa" w:w="3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64"/>
              <w:jc w:val="left"/>
            </w:pPr>
            <w:r>
              <w:rPr>
                <w:b w:val="false"/>
                <w:bCs w:val="false"/>
                <w:color w:val="000000"/>
                <w:sz w:val="19"/>
                <w:szCs w:val="19"/>
              </w:rPr>
              <w:t xml:space="preserve">type: lift/run/erg/conditioning/other; source: manual/healthkit/garmin</w:t>
            </w:r>
          </w:p>
        </w:tc>
      </w:tr>
      <w:tr>
        <w:trPr>
          <w:tblHeader w:val="false"/>
        </w:trPr>
        <w:tc>
          <w:tcPr>
            <w:tcW w:type="dxa" w:w="1900"/>
            <w:tcBorders>
              <w:top w:val="single" w:color="CCCCCC" w:sz="1"/>
              <w:left w:val="single" w:color="CCCCCC" w:sz="1"/>
              <w:bottom w:val="single" w:color="CCCCCC" w:sz="1"/>
              <w:right w:val="single" w:color="CCCCCC" w:sz="1"/>
            </w:tcBorders>
            <w:shd w:fill="EEF3F9" w:val="clear"/>
            <w:tcMar>
              <w:top w:type="dxa" w:w="70"/>
              <w:left w:type="dxa" w:w="110"/>
              <w:bottom w:type="dxa" w:w="70"/>
              <w:right w:type="dxa" w:w="110"/>
            </w:tcMar>
          </w:tcPr>
          <w:p>
            <w:pPr>
              <w:spacing w:after="0" w:line="264"/>
              <w:jc w:val="left"/>
            </w:pPr>
            <w:r>
              <w:rPr>
                <w:b w:val="false"/>
                <w:bCs w:val="false"/>
                <w:color w:val="000000"/>
                <w:sz w:val="19"/>
                <w:szCs w:val="19"/>
              </w:rPr>
              <w:t xml:space="preserve">strength_set</w:t>
            </w:r>
          </w:p>
        </w:tc>
        <w:tc>
          <w:tcPr>
            <w:tcW w:type="dxa" w:w="3300"/>
            <w:tcBorders>
              <w:top w:val="single" w:color="CCCCCC" w:sz="1"/>
              <w:left w:val="single" w:color="CCCCCC" w:sz="1"/>
              <w:bottom w:val="single" w:color="CCCCCC" w:sz="1"/>
              <w:right w:val="single" w:color="CCCCCC" w:sz="1"/>
            </w:tcBorders>
            <w:shd w:fill="EEF3F9" w:val="clear"/>
            <w:tcMar>
              <w:top w:type="dxa" w:w="70"/>
              <w:left w:type="dxa" w:w="110"/>
              <w:bottom w:type="dxa" w:w="70"/>
              <w:right w:type="dxa" w:w="110"/>
            </w:tcMar>
          </w:tcPr>
          <w:p>
            <w:pPr>
              <w:spacing w:after="0" w:line="264"/>
              <w:jc w:val="left"/>
            </w:pPr>
            <w:r>
              <w:rPr>
                <w:b w:val="false"/>
                <w:bCs w:val="false"/>
                <w:color w:val="000000"/>
                <w:sz w:val="19"/>
                <w:szCs w:val="19"/>
              </w:rPr>
              <w:t xml:space="preserve">id, workout_id, exercise_id, set_index, load, reps, rpe, is_warmup</w:t>
            </w:r>
          </w:p>
        </w:tc>
        <w:tc>
          <w:tcPr>
            <w:tcW w:type="dxa" w:w="3560"/>
            <w:tcBorders>
              <w:top w:val="single" w:color="CCCCCC" w:sz="1"/>
              <w:left w:val="single" w:color="CCCCCC" w:sz="1"/>
              <w:bottom w:val="single" w:color="CCCCCC" w:sz="1"/>
              <w:right w:val="single" w:color="CCCCCC" w:sz="1"/>
            </w:tcBorders>
            <w:shd w:fill="EEF3F9" w:val="clear"/>
            <w:tcMar>
              <w:top w:type="dxa" w:w="70"/>
              <w:left w:type="dxa" w:w="110"/>
              <w:bottom w:type="dxa" w:w="70"/>
              <w:right w:type="dxa" w:w="110"/>
            </w:tcMar>
          </w:tcPr>
          <w:p>
            <w:pPr>
              <w:spacing w:after="0" w:line="264"/>
              <w:jc w:val="left"/>
            </w:pPr>
            <w:r>
              <w:rPr>
                <w:b w:val="false"/>
                <w:bCs w:val="false"/>
                <w:color w:val="000000"/>
                <w:sz w:val="19"/>
                <w:szCs w:val="19"/>
              </w:rPr>
              <w:t xml:space="preserve">Rolls up to SS</w:t>
            </w:r>
          </w:p>
        </w:tc>
      </w:tr>
      <w:tr>
        <w:trPr>
          <w:tblHeader w:val="false"/>
        </w:trPr>
        <w:tc>
          <w:tcPr>
            <w:tcW w:type="dxa" w:w="1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64"/>
              <w:jc w:val="left"/>
            </w:pPr>
            <w:r>
              <w:rPr>
                <w:b w:val="false"/>
                <w:bCs w:val="false"/>
                <w:color w:val="000000"/>
                <w:sz w:val="19"/>
                <w:szCs w:val="19"/>
              </w:rPr>
              <w:t xml:space="preserve">exercise</w:t>
            </w:r>
          </w:p>
        </w:tc>
        <w:tc>
          <w:tcPr>
            <w:tcW w:type="dxa" w:w="3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64"/>
              <w:jc w:val="left"/>
            </w:pPr>
            <w:r>
              <w:rPr>
                <w:b w:val="false"/>
                <w:bCs w:val="false"/>
                <w:color w:val="000000"/>
                <w:sz w:val="19"/>
                <w:szCs w:val="19"/>
              </w:rPr>
              <w:t xml:space="preserve">id, name, category, is_lower_body, default_unit</w:t>
            </w:r>
          </w:p>
        </w:tc>
        <w:tc>
          <w:tcPr>
            <w:tcW w:type="dxa" w:w="3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64"/>
              <w:jc w:val="left"/>
            </w:pPr>
            <w:r>
              <w:rPr>
                <w:b w:val="false"/>
                <w:bCs w:val="false"/>
                <w:color w:val="000000"/>
                <w:sz w:val="19"/>
                <w:szCs w:val="19"/>
              </w:rPr>
              <w:t xml:space="preserve">is_lower_body drives leg multiplier</w:t>
            </w:r>
          </w:p>
        </w:tc>
      </w:tr>
      <w:tr>
        <w:trPr>
          <w:tblHeader w:val="false"/>
        </w:trPr>
        <w:tc>
          <w:tcPr>
            <w:tcW w:type="dxa" w:w="1900"/>
            <w:tcBorders>
              <w:top w:val="single" w:color="CCCCCC" w:sz="1"/>
              <w:left w:val="single" w:color="CCCCCC" w:sz="1"/>
              <w:bottom w:val="single" w:color="CCCCCC" w:sz="1"/>
              <w:right w:val="single" w:color="CCCCCC" w:sz="1"/>
            </w:tcBorders>
            <w:shd w:fill="EEF3F9" w:val="clear"/>
            <w:tcMar>
              <w:top w:type="dxa" w:w="70"/>
              <w:left w:type="dxa" w:w="110"/>
              <w:bottom w:type="dxa" w:w="70"/>
              <w:right w:type="dxa" w:w="110"/>
            </w:tcMar>
          </w:tcPr>
          <w:p>
            <w:pPr>
              <w:spacing w:after="0" w:line="264"/>
              <w:jc w:val="left"/>
            </w:pPr>
            <w:r>
              <w:rPr>
                <w:b w:val="false"/>
                <w:bCs w:val="false"/>
                <w:color w:val="000000"/>
                <w:sz w:val="19"/>
                <w:szCs w:val="19"/>
              </w:rPr>
              <w:t xml:space="preserve">endurance_segment</w:t>
            </w:r>
          </w:p>
        </w:tc>
        <w:tc>
          <w:tcPr>
            <w:tcW w:type="dxa" w:w="3300"/>
            <w:tcBorders>
              <w:top w:val="single" w:color="CCCCCC" w:sz="1"/>
              <w:left w:val="single" w:color="CCCCCC" w:sz="1"/>
              <w:bottom w:val="single" w:color="CCCCCC" w:sz="1"/>
              <w:right w:val="single" w:color="CCCCCC" w:sz="1"/>
            </w:tcBorders>
            <w:shd w:fill="EEF3F9" w:val="clear"/>
            <w:tcMar>
              <w:top w:type="dxa" w:w="70"/>
              <w:left w:type="dxa" w:w="110"/>
              <w:bottom w:type="dxa" w:w="70"/>
              <w:right w:type="dxa" w:w="110"/>
            </w:tcMar>
          </w:tcPr>
          <w:p>
            <w:pPr>
              <w:spacing w:after="0" w:line="264"/>
              <w:jc w:val="left"/>
            </w:pPr>
            <w:r>
              <w:rPr>
                <w:b w:val="false"/>
                <w:bCs w:val="false"/>
                <w:color w:val="000000"/>
                <w:sz w:val="19"/>
                <w:szCs w:val="19"/>
              </w:rPr>
              <w:t xml:space="preserve">id, workout_id, distance_m, duration_s, avg_hr, avg_pace, if, tag</w:t>
            </w:r>
          </w:p>
        </w:tc>
        <w:tc>
          <w:tcPr>
            <w:tcW w:type="dxa" w:w="3560"/>
            <w:tcBorders>
              <w:top w:val="single" w:color="CCCCCC" w:sz="1"/>
              <w:left w:val="single" w:color="CCCCCC" w:sz="1"/>
              <w:bottom w:val="single" w:color="CCCCCC" w:sz="1"/>
              <w:right w:val="single" w:color="CCCCCC" w:sz="1"/>
            </w:tcBorders>
            <w:shd w:fill="EEF3F9" w:val="clear"/>
            <w:tcMar>
              <w:top w:type="dxa" w:w="70"/>
              <w:left w:type="dxa" w:w="110"/>
              <w:bottom w:type="dxa" w:w="70"/>
              <w:right w:type="dxa" w:w="110"/>
            </w:tcMar>
          </w:tcPr>
          <w:p>
            <w:pPr>
              <w:spacing w:after="0" w:line="264"/>
              <w:jc w:val="left"/>
            </w:pPr>
            <w:r>
              <w:rPr>
                <w:b w:val="false"/>
                <w:bCs w:val="false"/>
                <w:color w:val="000000"/>
                <w:sz w:val="19"/>
                <w:szCs w:val="19"/>
              </w:rPr>
              <w:t xml:space="preserve">tag: tempo/interval/z2/long/sled; rolls up to ES</w:t>
            </w:r>
          </w:p>
        </w:tc>
      </w:tr>
      <w:tr>
        <w:trPr>
          <w:tblHeader w:val="false"/>
        </w:trPr>
        <w:tc>
          <w:tcPr>
            <w:tcW w:type="dxa" w:w="1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64"/>
              <w:jc w:val="left"/>
            </w:pPr>
            <w:r>
              <w:rPr>
                <w:b w:val="false"/>
                <w:bCs w:val="false"/>
                <w:color w:val="000000"/>
                <w:sz w:val="19"/>
                <w:szCs w:val="19"/>
              </w:rPr>
              <w:t xml:space="preserve">load_daily</w:t>
            </w:r>
          </w:p>
        </w:tc>
        <w:tc>
          <w:tcPr>
            <w:tcW w:type="dxa" w:w="3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64"/>
              <w:jc w:val="left"/>
            </w:pPr>
            <w:r>
              <w:rPr>
                <w:b w:val="false"/>
                <w:bCs w:val="false"/>
                <w:color w:val="000000"/>
                <w:sz w:val="19"/>
                <w:szCs w:val="19"/>
              </w:rPr>
              <w:t xml:space="preserve">user_id, local_date, day_hss, atl, ctl, tsb, readiness_band</w:t>
            </w:r>
          </w:p>
        </w:tc>
        <w:tc>
          <w:tcPr>
            <w:tcW w:type="dxa" w:w="3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64"/>
              <w:jc w:val="left"/>
            </w:pPr>
            <w:r>
              <w:rPr>
                <w:b w:val="false"/>
                <w:bCs w:val="false"/>
                <w:color w:val="000000"/>
                <w:sz w:val="19"/>
                <w:szCs w:val="19"/>
              </w:rPr>
              <w:t xml:space="preserve">Materialized daily; powers trends + readiness</w:t>
            </w:r>
          </w:p>
        </w:tc>
      </w:tr>
    </w:tbl>
    <w:p>
      <w:pPr>
        <w:pStyle w:val="Heading2"/>
      </w:pPr>
      <w:r>
        <w:t xml:space="preserve">8.2 Nutrition entities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900"/>
        <w:gridCol w:w="3300"/>
        <w:gridCol w:w="3560"/>
      </w:tblGrid>
      <w:tr>
        <w:trPr>
          <w:tblHeader/>
        </w:trPr>
        <w:tc>
          <w:tcPr>
            <w:tcW w:type="dxa" w:w="1900"/>
            <w:tcBorders>
              <w:top w:val="single" w:color="CCCCCC" w:sz="1"/>
              <w:left w:val="single" w:color="CCCCCC" w:sz="1"/>
              <w:bottom w:val="single" w:color="CCCCCC" w:sz="1"/>
              <w:right w:val="single" w:color="CCCCCC" w:sz="1"/>
            </w:tcBorders>
            <w:shd w:fill="1B2A4A" w:val="clear"/>
            <w:tcMar>
              <w:top w:type="dxa" w:w="70"/>
              <w:left w:type="dxa" w:w="110"/>
              <w:bottom w:type="dxa" w:w="70"/>
              <w:right w:type="dxa" w:w="110"/>
            </w:tcMar>
          </w:tcPr>
          <w:p>
            <w:pPr>
              <w:spacing w:after="0" w:line="264"/>
              <w:jc w:val="left"/>
            </w:pPr>
            <w:r>
              <w:rPr>
                <w:b/>
                <w:bCs/>
                <w:color w:val="FFFFFF"/>
                <w:sz w:val="19"/>
                <w:szCs w:val="19"/>
              </w:rPr>
              <w:t xml:space="preserve">Entity</w:t>
            </w:r>
          </w:p>
        </w:tc>
        <w:tc>
          <w:tcPr>
            <w:tcW w:type="dxa" w:w="3300"/>
            <w:tcBorders>
              <w:top w:val="single" w:color="CCCCCC" w:sz="1"/>
              <w:left w:val="single" w:color="CCCCCC" w:sz="1"/>
              <w:bottom w:val="single" w:color="CCCCCC" w:sz="1"/>
              <w:right w:val="single" w:color="CCCCCC" w:sz="1"/>
            </w:tcBorders>
            <w:shd w:fill="1B2A4A" w:val="clear"/>
            <w:tcMar>
              <w:top w:type="dxa" w:w="70"/>
              <w:left w:type="dxa" w:w="110"/>
              <w:bottom w:type="dxa" w:w="70"/>
              <w:right w:type="dxa" w:w="110"/>
            </w:tcMar>
          </w:tcPr>
          <w:p>
            <w:pPr>
              <w:spacing w:after="0" w:line="264"/>
              <w:jc w:val="left"/>
            </w:pPr>
            <w:r>
              <w:rPr>
                <w:b/>
                <w:bCs/>
                <w:color w:val="FFFFFF"/>
                <w:sz w:val="19"/>
                <w:szCs w:val="19"/>
              </w:rPr>
              <w:t xml:space="preserve">Key fields</w:t>
            </w:r>
          </w:p>
        </w:tc>
        <w:tc>
          <w:tcPr>
            <w:tcW w:type="dxa" w:w="3560"/>
            <w:tcBorders>
              <w:top w:val="single" w:color="CCCCCC" w:sz="1"/>
              <w:left w:val="single" w:color="CCCCCC" w:sz="1"/>
              <w:bottom w:val="single" w:color="CCCCCC" w:sz="1"/>
              <w:right w:val="single" w:color="CCCCCC" w:sz="1"/>
            </w:tcBorders>
            <w:shd w:fill="1B2A4A" w:val="clear"/>
            <w:tcMar>
              <w:top w:type="dxa" w:w="70"/>
              <w:left w:type="dxa" w:w="110"/>
              <w:bottom w:type="dxa" w:w="70"/>
              <w:right w:type="dxa" w:w="110"/>
            </w:tcMar>
          </w:tcPr>
          <w:p>
            <w:pPr>
              <w:spacing w:after="0" w:line="264"/>
              <w:jc w:val="left"/>
            </w:pPr>
            <w:r>
              <w:rPr>
                <w:b/>
                <w:bCs/>
                <w:color w:val="FFFFFF"/>
                <w:sz w:val="19"/>
                <w:szCs w:val="19"/>
              </w:rPr>
              <w:t xml:space="preserve">Notes</w:t>
            </w:r>
          </w:p>
        </w:tc>
      </w:tr>
      <w:tr>
        <w:trPr>
          <w:tblHeader w:val="false"/>
        </w:trPr>
        <w:tc>
          <w:tcPr>
            <w:tcW w:type="dxa" w:w="1900"/>
            <w:tcBorders>
              <w:top w:val="single" w:color="CCCCCC" w:sz="1"/>
              <w:left w:val="single" w:color="CCCCCC" w:sz="1"/>
              <w:bottom w:val="single" w:color="CCCCCC" w:sz="1"/>
              <w:right w:val="single" w:color="CCCCCC" w:sz="1"/>
            </w:tcBorders>
            <w:shd w:fill="EEF3F9" w:val="clear"/>
            <w:tcMar>
              <w:top w:type="dxa" w:w="70"/>
              <w:left w:type="dxa" w:w="110"/>
              <w:bottom w:type="dxa" w:w="70"/>
              <w:right w:type="dxa" w:w="110"/>
            </w:tcMar>
          </w:tcPr>
          <w:p>
            <w:pPr>
              <w:spacing w:after="0" w:line="264"/>
              <w:jc w:val="left"/>
            </w:pPr>
            <w:r>
              <w:rPr>
                <w:b w:val="false"/>
                <w:bCs w:val="false"/>
                <w:color w:val="000000"/>
                <w:sz w:val="19"/>
                <w:szCs w:val="19"/>
              </w:rPr>
              <w:t xml:space="preserve">nutrition_target</w:t>
            </w:r>
          </w:p>
        </w:tc>
        <w:tc>
          <w:tcPr>
            <w:tcW w:type="dxa" w:w="3300"/>
            <w:tcBorders>
              <w:top w:val="single" w:color="CCCCCC" w:sz="1"/>
              <w:left w:val="single" w:color="CCCCCC" w:sz="1"/>
              <w:bottom w:val="single" w:color="CCCCCC" w:sz="1"/>
              <w:right w:val="single" w:color="CCCCCC" w:sz="1"/>
            </w:tcBorders>
            <w:shd w:fill="EEF3F9" w:val="clear"/>
            <w:tcMar>
              <w:top w:type="dxa" w:w="70"/>
              <w:left w:type="dxa" w:w="110"/>
              <w:bottom w:type="dxa" w:w="70"/>
              <w:right w:type="dxa" w:w="110"/>
            </w:tcMar>
          </w:tcPr>
          <w:p>
            <w:pPr>
              <w:spacing w:after="0" w:line="264"/>
              <w:jc w:val="left"/>
            </w:pPr>
            <w:r>
              <w:rPr>
                <w:b w:val="false"/>
                <w:bCs w:val="false"/>
                <w:color w:val="000000"/>
                <w:sz w:val="19"/>
                <w:szCs w:val="19"/>
              </w:rPr>
              <w:t xml:space="preserve">user_id, local_date, day_type, kcal, protein_g, carb_g, fat_g, source</w:t>
            </w:r>
          </w:p>
        </w:tc>
        <w:tc>
          <w:tcPr>
            <w:tcW w:type="dxa" w:w="3560"/>
            <w:tcBorders>
              <w:top w:val="single" w:color="CCCCCC" w:sz="1"/>
              <w:left w:val="single" w:color="CCCCCC" w:sz="1"/>
              <w:bottom w:val="single" w:color="CCCCCC" w:sz="1"/>
              <w:right w:val="single" w:color="CCCCCC" w:sz="1"/>
            </w:tcBorders>
            <w:shd w:fill="EEF3F9" w:val="clear"/>
            <w:tcMar>
              <w:top w:type="dxa" w:w="70"/>
              <w:left w:type="dxa" w:w="110"/>
              <w:bottom w:type="dxa" w:w="70"/>
              <w:right w:type="dxa" w:w="110"/>
            </w:tcMar>
          </w:tcPr>
          <w:p>
            <w:pPr>
              <w:spacing w:after="0" w:line="264"/>
              <w:jc w:val="left"/>
            </w:pPr>
            <w:r>
              <w:rPr>
                <w:b w:val="false"/>
                <w:bCs w:val="false"/>
                <w:color w:val="000000"/>
                <w:sz w:val="19"/>
                <w:szCs w:val="19"/>
              </w:rPr>
              <w:t xml:space="preserve">Generated from §6.4; source: auto/override</w:t>
            </w:r>
          </w:p>
        </w:tc>
      </w:tr>
      <w:tr>
        <w:trPr>
          <w:tblHeader w:val="false"/>
        </w:trPr>
        <w:tc>
          <w:tcPr>
            <w:tcW w:type="dxa" w:w="1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64"/>
              <w:jc w:val="left"/>
            </w:pPr>
            <w:r>
              <w:rPr>
                <w:b w:val="false"/>
                <w:bCs w:val="false"/>
                <w:color w:val="000000"/>
                <w:sz w:val="19"/>
                <w:szCs w:val="19"/>
              </w:rPr>
              <w:t xml:space="preserve">food</w:t>
            </w:r>
          </w:p>
        </w:tc>
        <w:tc>
          <w:tcPr>
            <w:tcW w:type="dxa" w:w="3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64"/>
              <w:jc w:val="left"/>
            </w:pPr>
            <w:r>
              <w:rPr>
                <w:b w:val="false"/>
                <w:bCs w:val="false"/>
                <w:color w:val="000000"/>
                <w:sz w:val="19"/>
                <w:szCs w:val="19"/>
              </w:rPr>
              <w:t xml:space="preserve">id, name, brand?, per_100g macros, barcode?, verified</w:t>
            </w:r>
          </w:p>
        </w:tc>
        <w:tc>
          <w:tcPr>
            <w:tcW w:type="dxa" w:w="3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64"/>
              <w:jc w:val="left"/>
            </w:pPr>
            <w:r>
              <w:rPr>
                <w:b w:val="false"/>
                <w:bCs w:val="false"/>
                <w:color w:val="000000"/>
                <w:sz w:val="19"/>
                <w:szCs w:val="19"/>
              </w:rPr>
              <w:t xml:space="preserve">Shared library + user-created</w:t>
            </w:r>
          </w:p>
        </w:tc>
      </w:tr>
      <w:tr>
        <w:trPr>
          <w:tblHeader w:val="false"/>
        </w:trPr>
        <w:tc>
          <w:tcPr>
            <w:tcW w:type="dxa" w:w="1900"/>
            <w:tcBorders>
              <w:top w:val="single" w:color="CCCCCC" w:sz="1"/>
              <w:left w:val="single" w:color="CCCCCC" w:sz="1"/>
              <w:bottom w:val="single" w:color="CCCCCC" w:sz="1"/>
              <w:right w:val="single" w:color="CCCCCC" w:sz="1"/>
            </w:tcBorders>
            <w:shd w:fill="EEF3F9" w:val="clear"/>
            <w:tcMar>
              <w:top w:type="dxa" w:w="70"/>
              <w:left w:type="dxa" w:w="110"/>
              <w:bottom w:type="dxa" w:w="70"/>
              <w:right w:type="dxa" w:w="110"/>
            </w:tcMar>
          </w:tcPr>
          <w:p>
            <w:pPr>
              <w:spacing w:after="0" w:line="264"/>
              <w:jc w:val="left"/>
            </w:pPr>
            <w:r>
              <w:rPr>
                <w:b w:val="false"/>
                <w:bCs w:val="false"/>
                <w:color w:val="000000"/>
                <w:sz w:val="19"/>
                <w:szCs w:val="19"/>
              </w:rPr>
              <w:t xml:space="preserve">food_log</w:t>
            </w:r>
          </w:p>
        </w:tc>
        <w:tc>
          <w:tcPr>
            <w:tcW w:type="dxa" w:w="3300"/>
            <w:tcBorders>
              <w:top w:val="single" w:color="CCCCCC" w:sz="1"/>
              <w:left w:val="single" w:color="CCCCCC" w:sz="1"/>
              <w:bottom w:val="single" w:color="CCCCCC" w:sz="1"/>
              <w:right w:val="single" w:color="CCCCCC" w:sz="1"/>
            </w:tcBorders>
            <w:shd w:fill="EEF3F9" w:val="clear"/>
            <w:tcMar>
              <w:top w:type="dxa" w:w="70"/>
              <w:left w:type="dxa" w:w="110"/>
              <w:bottom w:type="dxa" w:w="70"/>
              <w:right w:type="dxa" w:w="110"/>
            </w:tcMar>
          </w:tcPr>
          <w:p>
            <w:pPr>
              <w:spacing w:after="0" w:line="264"/>
              <w:jc w:val="left"/>
            </w:pPr>
            <w:r>
              <w:rPr>
                <w:b w:val="false"/>
                <w:bCs w:val="false"/>
                <w:color w:val="000000"/>
                <w:sz w:val="19"/>
                <w:szCs w:val="19"/>
              </w:rPr>
              <w:t xml:space="preserve">id, user_id, local_date, meal, food_id, qty_g, kcal, p, c, f</w:t>
            </w:r>
          </w:p>
        </w:tc>
        <w:tc>
          <w:tcPr>
            <w:tcW w:type="dxa" w:w="3560"/>
            <w:tcBorders>
              <w:top w:val="single" w:color="CCCCCC" w:sz="1"/>
              <w:left w:val="single" w:color="CCCCCC" w:sz="1"/>
              <w:bottom w:val="single" w:color="CCCCCC" w:sz="1"/>
              <w:right w:val="single" w:color="CCCCCC" w:sz="1"/>
            </w:tcBorders>
            <w:shd w:fill="EEF3F9" w:val="clear"/>
            <w:tcMar>
              <w:top w:type="dxa" w:w="70"/>
              <w:left w:type="dxa" w:w="110"/>
              <w:bottom w:type="dxa" w:w="70"/>
              <w:right w:type="dxa" w:w="110"/>
            </w:tcMar>
          </w:tcPr>
          <w:p>
            <w:pPr>
              <w:spacing w:after="0" w:line="264"/>
              <w:jc w:val="left"/>
            </w:pPr>
            <w:r>
              <w:rPr>
                <w:b w:val="false"/>
                <w:bCs w:val="false"/>
                <w:color w:val="000000"/>
                <w:sz w:val="19"/>
                <w:szCs w:val="19"/>
              </w:rPr>
              <w:t xml:space="preserve">Fast-entry; supports quick-add macros w/o food_id</w:t>
            </w:r>
          </w:p>
        </w:tc>
      </w:tr>
      <w:tr>
        <w:trPr>
          <w:tblHeader w:val="false"/>
        </w:trPr>
        <w:tc>
          <w:tcPr>
            <w:tcW w:type="dxa" w:w="1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64"/>
              <w:jc w:val="left"/>
            </w:pPr>
            <w:r>
              <w:rPr>
                <w:b w:val="false"/>
                <w:bCs w:val="false"/>
                <w:color w:val="000000"/>
                <w:sz w:val="19"/>
                <w:szCs w:val="19"/>
              </w:rPr>
              <w:t xml:space="preserve">hydration_log</w:t>
            </w:r>
          </w:p>
        </w:tc>
        <w:tc>
          <w:tcPr>
            <w:tcW w:type="dxa" w:w="3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64"/>
              <w:jc w:val="left"/>
            </w:pPr>
            <w:r>
              <w:rPr>
                <w:b w:val="false"/>
                <w:bCs w:val="false"/>
                <w:color w:val="000000"/>
                <w:sz w:val="19"/>
                <w:szCs w:val="19"/>
              </w:rPr>
              <w:t xml:space="preserve">id, user_id, local_date, fluid_ml, sodium_mg</w:t>
            </w:r>
          </w:p>
        </w:tc>
        <w:tc>
          <w:tcPr>
            <w:tcW w:type="dxa" w:w="3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64"/>
              <w:jc w:val="left"/>
            </w:pPr>
            <w:r>
              <w:rPr>
                <w:b w:val="false"/>
                <w:bCs w:val="false"/>
                <w:color w:val="000000"/>
                <w:sz w:val="19"/>
                <w:szCs w:val="19"/>
              </w:rPr>
              <w:t xml:space="preserve">Fast-follow; sweat-rate informed</w:t>
            </w:r>
          </w:p>
        </w:tc>
      </w:tr>
    </w:tbl>
    <w:p>
      <w:pPr>
        <w:pStyle w:val="Heading2"/>
      </w:pPr>
      <w:r>
        <w:t xml:space="preserve">8.3 Sync &amp; meta</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900"/>
        <w:gridCol w:w="3300"/>
        <w:gridCol w:w="3560"/>
      </w:tblGrid>
      <w:tr>
        <w:trPr>
          <w:tblHeader/>
        </w:trPr>
        <w:tc>
          <w:tcPr>
            <w:tcW w:type="dxa" w:w="1900"/>
            <w:tcBorders>
              <w:top w:val="single" w:color="CCCCCC" w:sz="1"/>
              <w:left w:val="single" w:color="CCCCCC" w:sz="1"/>
              <w:bottom w:val="single" w:color="CCCCCC" w:sz="1"/>
              <w:right w:val="single" w:color="CCCCCC" w:sz="1"/>
            </w:tcBorders>
            <w:shd w:fill="1B2A4A" w:val="clear"/>
            <w:tcMar>
              <w:top w:type="dxa" w:w="70"/>
              <w:left w:type="dxa" w:w="110"/>
              <w:bottom w:type="dxa" w:w="70"/>
              <w:right w:type="dxa" w:w="110"/>
            </w:tcMar>
          </w:tcPr>
          <w:p>
            <w:pPr>
              <w:spacing w:after="0" w:line="264"/>
              <w:jc w:val="left"/>
            </w:pPr>
            <w:r>
              <w:rPr>
                <w:b/>
                <w:bCs/>
                <w:color w:val="FFFFFF"/>
                <w:sz w:val="19"/>
                <w:szCs w:val="19"/>
              </w:rPr>
              <w:t xml:space="preserve">Entity</w:t>
            </w:r>
          </w:p>
        </w:tc>
        <w:tc>
          <w:tcPr>
            <w:tcW w:type="dxa" w:w="3300"/>
            <w:tcBorders>
              <w:top w:val="single" w:color="CCCCCC" w:sz="1"/>
              <w:left w:val="single" w:color="CCCCCC" w:sz="1"/>
              <w:bottom w:val="single" w:color="CCCCCC" w:sz="1"/>
              <w:right w:val="single" w:color="CCCCCC" w:sz="1"/>
            </w:tcBorders>
            <w:shd w:fill="1B2A4A" w:val="clear"/>
            <w:tcMar>
              <w:top w:type="dxa" w:w="70"/>
              <w:left w:type="dxa" w:w="110"/>
              <w:bottom w:type="dxa" w:w="70"/>
              <w:right w:type="dxa" w:w="110"/>
            </w:tcMar>
          </w:tcPr>
          <w:p>
            <w:pPr>
              <w:spacing w:after="0" w:line="264"/>
              <w:jc w:val="left"/>
            </w:pPr>
            <w:r>
              <w:rPr>
                <w:b/>
                <w:bCs/>
                <w:color w:val="FFFFFF"/>
                <w:sz w:val="19"/>
                <w:szCs w:val="19"/>
              </w:rPr>
              <w:t xml:space="preserve">Key fields</w:t>
            </w:r>
          </w:p>
        </w:tc>
        <w:tc>
          <w:tcPr>
            <w:tcW w:type="dxa" w:w="3560"/>
            <w:tcBorders>
              <w:top w:val="single" w:color="CCCCCC" w:sz="1"/>
              <w:left w:val="single" w:color="CCCCCC" w:sz="1"/>
              <w:bottom w:val="single" w:color="CCCCCC" w:sz="1"/>
              <w:right w:val="single" w:color="CCCCCC" w:sz="1"/>
            </w:tcBorders>
            <w:shd w:fill="1B2A4A" w:val="clear"/>
            <w:tcMar>
              <w:top w:type="dxa" w:w="70"/>
              <w:left w:type="dxa" w:w="110"/>
              <w:bottom w:type="dxa" w:w="70"/>
              <w:right w:type="dxa" w:w="110"/>
            </w:tcMar>
          </w:tcPr>
          <w:p>
            <w:pPr>
              <w:spacing w:after="0" w:line="264"/>
              <w:jc w:val="left"/>
            </w:pPr>
            <w:r>
              <w:rPr>
                <w:b/>
                <w:bCs/>
                <w:color w:val="FFFFFF"/>
                <w:sz w:val="19"/>
                <w:szCs w:val="19"/>
              </w:rPr>
              <w:t xml:space="preserve">Notes</w:t>
            </w:r>
          </w:p>
        </w:tc>
      </w:tr>
      <w:tr>
        <w:trPr>
          <w:tblHeader w:val="false"/>
        </w:trPr>
        <w:tc>
          <w:tcPr>
            <w:tcW w:type="dxa" w:w="1900"/>
            <w:tcBorders>
              <w:top w:val="single" w:color="CCCCCC" w:sz="1"/>
              <w:left w:val="single" w:color="CCCCCC" w:sz="1"/>
              <w:bottom w:val="single" w:color="CCCCCC" w:sz="1"/>
              <w:right w:val="single" w:color="CCCCCC" w:sz="1"/>
            </w:tcBorders>
            <w:shd w:fill="EEF3F9" w:val="clear"/>
            <w:tcMar>
              <w:top w:type="dxa" w:w="70"/>
              <w:left w:type="dxa" w:w="110"/>
              <w:bottom w:type="dxa" w:w="70"/>
              <w:right w:type="dxa" w:w="110"/>
            </w:tcMar>
          </w:tcPr>
          <w:p>
            <w:pPr>
              <w:spacing w:after="0" w:line="264"/>
              <w:jc w:val="left"/>
            </w:pPr>
            <w:r>
              <w:rPr>
                <w:b w:val="false"/>
                <w:bCs w:val="false"/>
                <w:color w:val="000000"/>
                <w:sz w:val="19"/>
                <w:szCs w:val="19"/>
              </w:rPr>
              <w:t xml:space="preserve">external_source</w:t>
            </w:r>
          </w:p>
        </w:tc>
        <w:tc>
          <w:tcPr>
            <w:tcW w:type="dxa" w:w="3300"/>
            <w:tcBorders>
              <w:top w:val="single" w:color="CCCCCC" w:sz="1"/>
              <w:left w:val="single" w:color="CCCCCC" w:sz="1"/>
              <w:bottom w:val="single" w:color="CCCCCC" w:sz="1"/>
              <w:right w:val="single" w:color="CCCCCC" w:sz="1"/>
            </w:tcBorders>
            <w:shd w:fill="EEF3F9" w:val="clear"/>
            <w:tcMar>
              <w:top w:type="dxa" w:w="70"/>
              <w:left w:type="dxa" w:w="110"/>
              <w:bottom w:type="dxa" w:w="70"/>
              <w:right w:type="dxa" w:w="110"/>
            </w:tcMar>
          </w:tcPr>
          <w:p>
            <w:pPr>
              <w:spacing w:after="0" w:line="264"/>
              <w:jc w:val="left"/>
            </w:pPr>
            <w:r>
              <w:rPr>
                <w:b w:val="false"/>
                <w:bCs w:val="false"/>
                <w:color w:val="000000"/>
                <w:sz w:val="19"/>
                <w:szCs w:val="19"/>
              </w:rPr>
              <w:t xml:space="preserve">user_id, provider, access_token, last_sync_at</w:t>
            </w:r>
          </w:p>
        </w:tc>
        <w:tc>
          <w:tcPr>
            <w:tcW w:type="dxa" w:w="3560"/>
            <w:tcBorders>
              <w:top w:val="single" w:color="CCCCCC" w:sz="1"/>
              <w:left w:val="single" w:color="CCCCCC" w:sz="1"/>
              <w:bottom w:val="single" w:color="CCCCCC" w:sz="1"/>
              <w:right w:val="single" w:color="CCCCCC" w:sz="1"/>
            </w:tcBorders>
            <w:shd w:fill="EEF3F9" w:val="clear"/>
            <w:tcMar>
              <w:top w:type="dxa" w:w="70"/>
              <w:left w:type="dxa" w:w="110"/>
              <w:bottom w:type="dxa" w:w="70"/>
              <w:right w:type="dxa" w:w="110"/>
            </w:tcMar>
          </w:tcPr>
          <w:p>
            <w:pPr>
              <w:spacing w:after="0" w:line="264"/>
              <w:jc w:val="left"/>
            </w:pPr>
            <w:r>
              <w:rPr>
                <w:b w:val="false"/>
                <w:bCs w:val="false"/>
                <w:color w:val="000000"/>
                <w:sz w:val="19"/>
                <w:szCs w:val="19"/>
              </w:rPr>
              <w:t xml:space="preserve">provider: healthkit/garmin</w:t>
            </w:r>
          </w:p>
        </w:tc>
      </w:tr>
      <w:tr>
        <w:trPr>
          <w:tblHeader w:val="false"/>
        </w:trPr>
        <w:tc>
          <w:tcPr>
            <w:tcW w:type="dxa" w:w="1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64"/>
              <w:jc w:val="left"/>
            </w:pPr>
            <w:r>
              <w:rPr>
                <w:b w:val="false"/>
                <w:bCs w:val="false"/>
                <w:color w:val="000000"/>
                <w:sz w:val="19"/>
                <w:szCs w:val="19"/>
              </w:rPr>
              <w:t xml:space="preserve">event_goal</w:t>
            </w:r>
          </w:p>
        </w:tc>
        <w:tc>
          <w:tcPr>
            <w:tcW w:type="dxa" w:w="3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64"/>
              <w:jc w:val="left"/>
            </w:pPr>
            <w:r>
              <w:rPr>
                <w:b w:val="false"/>
                <w:bCs w:val="false"/>
                <w:color w:val="000000"/>
                <w:sz w:val="19"/>
                <w:szCs w:val="19"/>
              </w:rPr>
              <w:t xml:space="preserve">id, user_id, name, date, type, division?</w:t>
            </w:r>
          </w:p>
        </w:tc>
        <w:tc>
          <w:tcPr>
            <w:tcW w:type="dxa" w:w="3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64"/>
              <w:jc w:val="left"/>
            </w:pPr>
            <w:r>
              <w:rPr>
                <w:b w:val="false"/>
                <w:bCs w:val="false"/>
                <w:color w:val="000000"/>
                <w:sz w:val="19"/>
                <w:szCs w:val="19"/>
              </w:rPr>
              <w:t xml:space="preserve">HYROX division / fitness-test date for taper view</w:t>
            </w:r>
          </w:p>
        </w:tc>
      </w:tr>
      <w:tr>
        <w:trPr>
          <w:tblHeader w:val="false"/>
        </w:trPr>
        <w:tc>
          <w:tcPr>
            <w:tcW w:type="dxa" w:w="1900"/>
            <w:tcBorders>
              <w:top w:val="single" w:color="CCCCCC" w:sz="1"/>
              <w:left w:val="single" w:color="CCCCCC" w:sz="1"/>
              <w:bottom w:val="single" w:color="CCCCCC" w:sz="1"/>
              <w:right w:val="single" w:color="CCCCCC" w:sz="1"/>
            </w:tcBorders>
            <w:shd w:fill="EEF3F9" w:val="clear"/>
            <w:tcMar>
              <w:top w:type="dxa" w:w="70"/>
              <w:left w:type="dxa" w:w="110"/>
              <w:bottom w:type="dxa" w:w="70"/>
              <w:right w:type="dxa" w:w="110"/>
            </w:tcMar>
          </w:tcPr>
          <w:p>
            <w:pPr>
              <w:spacing w:after="0" w:line="264"/>
              <w:jc w:val="left"/>
            </w:pPr>
            <w:r>
              <w:rPr>
                <w:b w:val="false"/>
                <w:bCs w:val="false"/>
                <w:color w:val="000000"/>
                <w:sz w:val="19"/>
                <w:szCs w:val="19"/>
              </w:rPr>
              <w:t xml:space="preserve">readiness_checkin</w:t>
            </w:r>
          </w:p>
        </w:tc>
        <w:tc>
          <w:tcPr>
            <w:tcW w:type="dxa" w:w="3300"/>
            <w:tcBorders>
              <w:top w:val="single" w:color="CCCCCC" w:sz="1"/>
              <w:left w:val="single" w:color="CCCCCC" w:sz="1"/>
              <w:bottom w:val="single" w:color="CCCCCC" w:sz="1"/>
              <w:right w:val="single" w:color="CCCCCC" w:sz="1"/>
            </w:tcBorders>
            <w:shd w:fill="EEF3F9" w:val="clear"/>
            <w:tcMar>
              <w:top w:type="dxa" w:w="70"/>
              <w:left w:type="dxa" w:w="110"/>
              <w:bottom w:type="dxa" w:w="70"/>
              <w:right w:type="dxa" w:w="110"/>
            </w:tcMar>
          </w:tcPr>
          <w:p>
            <w:pPr>
              <w:spacing w:after="0" w:line="264"/>
              <w:jc w:val="left"/>
            </w:pPr>
            <w:r>
              <w:rPr>
                <w:b w:val="false"/>
                <w:bCs w:val="false"/>
                <w:color w:val="000000"/>
                <w:sz w:val="19"/>
                <w:szCs w:val="19"/>
              </w:rPr>
              <w:t xml:space="preserve">id, user_id, date, subjective_score, soreness, sleep_h</w:t>
            </w:r>
          </w:p>
        </w:tc>
        <w:tc>
          <w:tcPr>
            <w:tcW w:type="dxa" w:w="3560"/>
            <w:tcBorders>
              <w:top w:val="single" w:color="CCCCCC" w:sz="1"/>
              <w:left w:val="single" w:color="CCCCCC" w:sz="1"/>
              <w:bottom w:val="single" w:color="CCCCCC" w:sz="1"/>
              <w:right w:val="single" w:color="CCCCCC" w:sz="1"/>
            </w:tcBorders>
            <w:shd w:fill="EEF3F9" w:val="clear"/>
            <w:tcMar>
              <w:top w:type="dxa" w:w="70"/>
              <w:left w:type="dxa" w:w="110"/>
              <w:bottom w:type="dxa" w:w="70"/>
              <w:right w:type="dxa" w:w="110"/>
            </w:tcMar>
          </w:tcPr>
          <w:p>
            <w:pPr>
              <w:spacing w:after="0" w:line="264"/>
              <w:jc w:val="left"/>
            </w:pPr>
            <w:r>
              <w:rPr>
                <w:b w:val="false"/>
                <w:bCs w:val="false"/>
                <w:color w:val="000000"/>
                <w:sz w:val="19"/>
                <w:szCs w:val="19"/>
              </w:rPr>
              <w:t xml:space="preserve">Calibrates HSS vs felt recovery</w:t>
            </w:r>
          </w:p>
        </w:tc>
      </w:tr>
    </w:tbl>
    <w:p>
      <w:pPr>
        <w:pStyle w:val="Heading2"/>
      </w:pPr>
      <w:r>
        <w:t xml:space="preserve">8.4 Relationships (text ERD)</w:t>
      </w:r>
    </w:p>
    <w:p>
      <w:pPr>
        <w:pStyle w:val="ListParagraph"/>
        <w:numPr>
          <w:ilvl w:val="0"/>
          <w:numId w:val="2"/>
        </w:numPr>
        <w:spacing w:after="60" w:line="270"/>
      </w:pPr>
      <w:r>
        <w:rPr>
          <w:b/>
          <w:bCs/>
        </w:rPr>
        <w:t xml:space="preserve">user</w:t>
      </w:r>
      <w:r>
        <w:t xml:space="preserve"> 1—N body_metric, workout, food_log, nutrition_target, event_goal, readiness_checkin; 1—1 athlete_profile.</w:t>
      </w:r>
    </w:p>
    <w:p>
      <w:pPr>
        <w:pStyle w:val="ListParagraph"/>
        <w:numPr>
          <w:ilvl w:val="0"/>
          <w:numId w:val="2"/>
        </w:numPr>
        <w:spacing w:after="60" w:line="270"/>
      </w:pPr>
      <w:r>
        <w:rPr>
          <w:b/>
          <w:bCs/>
        </w:rPr>
        <w:t xml:space="preserve">workout</w:t>
      </w:r>
      <w:r>
        <w:t xml:space="preserve"> 1—N strength_set and 1—N endurance_segment (a workout is one or the other in v1; the schema allows mixed for hybrid sessions).</w:t>
      </w:r>
    </w:p>
    <w:p>
      <w:pPr>
        <w:pStyle w:val="ListParagraph"/>
        <w:numPr>
          <w:ilvl w:val="0"/>
          <w:numId w:val="2"/>
        </w:numPr>
        <w:spacing w:after="60" w:line="270"/>
      </w:pPr>
      <w:r>
        <w:rPr>
          <w:b/>
          <w:bCs/>
        </w:rPr>
        <w:t xml:space="preserve">strength_set</w:t>
      </w:r>
      <w:r>
        <w:t xml:space="preserve"> N—1 exercise. </w:t>
      </w:r>
      <w:r>
        <w:rPr>
          <w:b/>
          <w:bCs/>
        </w:rPr>
        <w:t xml:space="preserve">food_log</w:t>
      </w:r>
      <w:r>
        <w:t xml:space="preserve"> N—1 food.</w:t>
      </w:r>
    </w:p>
    <w:p>
      <w:pPr>
        <w:pStyle w:val="ListParagraph"/>
        <w:numPr>
          <w:ilvl w:val="0"/>
          <w:numId w:val="2"/>
        </w:numPr>
        <w:spacing w:after="60" w:line="270"/>
      </w:pPr>
      <w:r>
        <w:rPr>
          <w:b/>
          <w:bCs/>
        </w:rPr>
        <w:t xml:space="preserve">load_daily</w:t>
      </w:r>
      <w:r>
        <w:t xml:space="preserve"> and </w:t>
      </w:r>
      <w:r>
        <w:rPr>
          <w:b/>
          <w:bCs/>
        </w:rPr>
        <w:t xml:space="preserve">nutrition_target</w:t>
      </w:r>
      <w:r>
        <w:t xml:space="preserve"> are derived/materialized per (user, local_date) by a nightly + on-write job.</w:t>
      </w:r>
    </w:p>
    <w:p>
      <w:pPr>
        <w:pBdr>
          <w:bottom w:val="single" w:color="2E6FB7" w:sz="6" w:space="1"/>
        </w:pBdr>
        <w:spacing w:after="160"/>
      </w:pPr>
      <w:r>
        <w:t xml:space="preserve"/>
      </w:r>
    </w:p>
    <w:p>
      <w:pPr>
        <w:pStyle w:val="Heading1"/>
      </w:pPr>
      <w:r>
        <w:t xml:space="preserve">9. Technical Architecture</w:t>
      </w:r>
    </w:p>
    <w:p>
      <w:pPr>
        <w:spacing w:after="120" w:line="276"/>
      </w:pPr>
      <w:r>
        <w:t xml:space="preserve">Optimized for one builder shipping a cross-platform mobile app fast, with the load/nutrition logic isolated so it stays testable and defensible. This maps cleanly onto your existing TypeScript / .NET / Azure comfort zone, with a pragmatic mobile choice.</w:t>
      </w:r>
    </w:p>
    <w:p>
      <w:pPr>
        <w:pStyle w:val="Heading2"/>
      </w:pPr>
      <w:r>
        <w:t xml:space="preserve">9.1 Recommended stack</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800"/>
        <w:gridCol w:w="3100"/>
        <w:gridCol w:w="3860"/>
      </w:tblGrid>
      <w:tr>
        <w:trPr>
          <w:tblHeader/>
        </w:trPr>
        <w:tc>
          <w:tcPr>
            <w:tcW w:type="dxa" w:w="1800"/>
            <w:tcBorders>
              <w:top w:val="single" w:color="CCCCCC" w:sz="1"/>
              <w:left w:val="single" w:color="CCCCCC" w:sz="1"/>
              <w:bottom w:val="single" w:color="CCCCCC" w:sz="1"/>
              <w:right w:val="single" w:color="CCCCCC" w:sz="1"/>
            </w:tcBorders>
            <w:shd w:fill="1B2A4A" w:val="clear"/>
            <w:tcMar>
              <w:top w:type="dxa" w:w="70"/>
              <w:left w:type="dxa" w:w="110"/>
              <w:bottom w:type="dxa" w:w="70"/>
              <w:right w:type="dxa" w:w="110"/>
            </w:tcMar>
          </w:tcPr>
          <w:p>
            <w:pPr>
              <w:spacing w:after="0" w:line="264"/>
              <w:jc w:val="left"/>
            </w:pPr>
            <w:r>
              <w:rPr>
                <w:b/>
                <w:bCs/>
                <w:color w:val="FFFFFF"/>
                <w:sz w:val="19"/>
                <w:szCs w:val="19"/>
              </w:rPr>
              <w:t xml:space="preserve">Layer</w:t>
            </w:r>
          </w:p>
        </w:tc>
        <w:tc>
          <w:tcPr>
            <w:tcW w:type="dxa" w:w="3100"/>
            <w:tcBorders>
              <w:top w:val="single" w:color="CCCCCC" w:sz="1"/>
              <w:left w:val="single" w:color="CCCCCC" w:sz="1"/>
              <w:bottom w:val="single" w:color="CCCCCC" w:sz="1"/>
              <w:right w:val="single" w:color="CCCCCC" w:sz="1"/>
            </w:tcBorders>
            <w:shd w:fill="1B2A4A" w:val="clear"/>
            <w:tcMar>
              <w:top w:type="dxa" w:w="70"/>
              <w:left w:type="dxa" w:w="110"/>
              <w:bottom w:type="dxa" w:w="70"/>
              <w:right w:type="dxa" w:w="110"/>
            </w:tcMar>
          </w:tcPr>
          <w:p>
            <w:pPr>
              <w:spacing w:after="0" w:line="264"/>
              <w:jc w:val="left"/>
            </w:pPr>
            <w:r>
              <w:rPr>
                <w:b/>
                <w:bCs/>
                <w:color w:val="FFFFFF"/>
                <w:sz w:val="19"/>
                <w:szCs w:val="19"/>
              </w:rPr>
              <w:t xml:space="preserve">Choice</w:t>
            </w:r>
          </w:p>
        </w:tc>
        <w:tc>
          <w:tcPr>
            <w:tcW w:type="dxa" w:w="3860"/>
            <w:tcBorders>
              <w:top w:val="single" w:color="CCCCCC" w:sz="1"/>
              <w:left w:val="single" w:color="CCCCCC" w:sz="1"/>
              <w:bottom w:val="single" w:color="CCCCCC" w:sz="1"/>
              <w:right w:val="single" w:color="CCCCCC" w:sz="1"/>
            </w:tcBorders>
            <w:shd w:fill="1B2A4A" w:val="clear"/>
            <w:tcMar>
              <w:top w:type="dxa" w:w="70"/>
              <w:left w:type="dxa" w:w="110"/>
              <w:bottom w:type="dxa" w:w="70"/>
              <w:right w:type="dxa" w:w="110"/>
            </w:tcMar>
          </w:tcPr>
          <w:p>
            <w:pPr>
              <w:spacing w:after="0" w:line="264"/>
              <w:jc w:val="left"/>
            </w:pPr>
            <w:r>
              <w:rPr>
                <w:b/>
                <w:bCs/>
                <w:color w:val="FFFFFF"/>
                <w:sz w:val="19"/>
                <w:szCs w:val="19"/>
              </w:rPr>
              <w:t xml:space="preserve">Rationale</w:t>
            </w:r>
          </w:p>
        </w:tc>
      </w:tr>
      <w:tr>
        <w:trPr>
          <w:tblHeader w:val="false"/>
        </w:trPr>
        <w:tc>
          <w:tcPr>
            <w:tcW w:type="dxa" w:w="1800"/>
            <w:tcBorders>
              <w:top w:val="single" w:color="CCCCCC" w:sz="1"/>
              <w:left w:val="single" w:color="CCCCCC" w:sz="1"/>
              <w:bottom w:val="single" w:color="CCCCCC" w:sz="1"/>
              <w:right w:val="single" w:color="CCCCCC" w:sz="1"/>
            </w:tcBorders>
            <w:shd w:fill="EEF3F9" w:val="clear"/>
            <w:tcMar>
              <w:top w:type="dxa" w:w="70"/>
              <w:left w:type="dxa" w:w="110"/>
              <w:bottom w:type="dxa" w:w="70"/>
              <w:right w:type="dxa" w:w="110"/>
            </w:tcMar>
          </w:tcPr>
          <w:p>
            <w:pPr>
              <w:spacing w:after="0" w:line="264"/>
              <w:jc w:val="left"/>
            </w:pPr>
            <w:r>
              <w:rPr>
                <w:b w:val="false"/>
                <w:bCs w:val="false"/>
                <w:color w:val="000000"/>
                <w:sz w:val="19"/>
                <w:szCs w:val="19"/>
              </w:rPr>
              <w:t xml:space="preserve">Mobile client</w:t>
            </w:r>
          </w:p>
        </w:tc>
        <w:tc>
          <w:tcPr>
            <w:tcW w:type="dxa" w:w="3100"/>
            <w:tcBorders>
              <w:top w:val="single" w:color="CCCCCC" w:sz="1"/>
              <w:left w:val="single" w:color="CCCCCC" w:sz="1"/>
              <w:bottom w:val="single" w:color="CCCCCC" w:sz="1"/>
              <w:right w:val="single" w:color="CCCCCC" w:sz="1"/>
            </w:tcBorders>
            <w:shd w:fill="EEF3F9" w:val="clear"/>
            <w:tcMar>
              <w:top w:type="dxa" w:w="70"/>
              <w:left w:type="dxa" w:w="110"/>
              <w:bottom w:type="dxa" w:w="70"/>
              <w:right w:type="dxa" w:w="110"/>
            </w:tcMar>
          </w:tcPr>
          <w:p>
            <w:pPr>
              <w:spacing w:after="0" w:line="264"/>
              <w:jc w:val="left"/>
            </w:pPr>
            <w:r>
              <w:rPr>
                <w:b w:val="false"/>
                <w:bCs w:val="false"/>
                <w:color w:val="000000"/>
                <w:sz w:val="19"/>
                <w:szCs w:val="19"/>
              </w:rPr>
              <w:t xml:space="preserve">React Native (Expo)</w:t>
            </w:r>
          </w:p>
        </w:tc>
        <w:tc>
          <w:tcPr>
            <w:tcW w:type="dxa" w:w="3860"/>
            <w:tcBorders>
              <w:top w:val="single" w:color="CCCCCC" w:sz="1"/>
              <w:left w:val="single" w:color="CCCCCC" w:sz="1"/>
              <w:bottom w:val="single" w:color="CCCCCC" w:sz="1"/>
              <w:right w:val="single" w:color="CCCCCC" w:sz="1"/>
            </w:tcBorders>
            <w:shd w:fill="EEF3F9" w:val="clear"/>
            <w:tcMar>
              <w:top w:type="dxa" w:w="70"/>
              <w:left w:type="dxa" w:w="110"/>
              <w:bottom w:type="dxa" w:w="70"/>
              <w:right w:type="dxa" w:w="110"/>
            </w:tcMar>
          </w:tcPr>
          <w:p>
            <w:pPr>
              <w:spacing w:after="0" w:line="264"/>
              <w:jc w:val="left"/>
            </w:pPr>
            <w:r>
              <w:rPr>
                <w:b w:val="false"/>
                <w:bCs w:val="false"/>
                <w:color w:val="000000"/>
                <w:sz w:val="19"/>
                <w:szCs w:val="19"/>
              </w:rPr>
              <w:t xml:space="preserve">One codebase → iOS + Android; matches your React/TS skills; OTA updates</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64"/>
              <w:jc w:val="left"/>
            </w:pPr>
            <w:r>
              <w:rPr>
                <w:b w:val="false"/>
                <w:bCs w:val="false"/>
                <w:color w:val="000000"/>
                <w:sz w:val="19"/>
                <w:szCs w:val="19"/>
              </w:rPr>
              <w:t xml:space="preserve">Local-first store</w:t>
            </w:r>
          </w:p>
        </w:tc>
        <w:tc>
          <w:tcPr>
            <w:tcW w:type="dxa" w:w="3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64"/>
              <w:jc w:val="left"/>
            </w:pPr>
            <w:r>
              <w:rPr>
                <w:b w:val="false"/>
                <w:bCs w:val="false"/>
                <w:color w:val="000000"/>
                <w:sz w:val="19"/>
                <w:szCs w:val="19"/>
              </w:rPr>
              <w:t xml:space="preserve">SQLite (WatermelonDB / op-sqlite)</w:t>
            </w:r>
          </w:p>
        </w:tc>
        <w:tc>
          <w:tcPr>
            <w:tcW w:type="dxa" w:w="38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64"/>
              <w:jc w:val="left"/>
            </w:pPr>
            <w:r>
              <w:rPr>
                <w:b w:val="false"/>
                <w:bCs w:val="false"/>
                <w:color w:val="000000"/>
                <w:sz w:val="19"/>
                <w:szCs w:val="19"/>
              </w:rPr>
              <w:t xml:space="preserve">Logging must work offline in a gym/trailhead; sync later</w:t>
            </w:r>
          </w:p>
        </w:tc>
      </w:tr>
      <w:tr>
        <w:trPr>
          <w:tblHeader w:val="false"/>
        </w:trPr>
        <w:tc>
          <w:tcPr>
            <w:tcW w:type="dxa" w:w="1800"/>
            <w:tcBorders>
              <w:top w:val="single" w:color="CCCCCC" w:sz="1"/>
              <w:left w:val="single" w:color="CCCCCC" w:sz="1"/>
              <w:bottom w:val="single" w:color="CCCCCC" w:sz="1"/>
              <w:right w:val="single" w:color="CCCCCC" w:sz="1"/>
            </w:tcBorders>
            <w:shd w:fill="EEF3F9" w:val="clear"/>
            <w:tcMar>
              <w:top w:type="dxa" w:w="70"/>
              <w:left w:type="dxa" w:w="110"/>
              <w:bottom w:type="dxa" w:w="70"/>
              <w:right w:type="dxa" w:w="110"/>
            </w:tcMar>
          </w:tcPr>
          <w:p>
            <w:pPr>
              <w:spacing w:after="0" w:line="264"/>
              <w:jc w:val="left"/>
            </w:pPr>
            <w:r>
              <w:rPr>
                <w:b w:val="false"/>
                <w:bCs w:val="false"/>
                <w:color w:val="000000"/>
                <w:sz w:val="19"/>
                <w:szCs w:val="19"/>
              </w:rPr>
              <w:t xml:space="preserve">Health integration</w:t>
            </w:r>
          </w:p>
        </w:tc>
        <w:tc>
          <w:tcPr>
            <w:tcW w:type="dxa" w:w="3100"/>
            <w:tcBorders>
              <w:top w:val="single" w:color="CCCCCC" w:sz="1"/>
              <w:left w:val="single" w:color="CCCCCC" w:sz="1"/>
              <w:bottom w:val="single" w:color="CCCCCC" w:sz="1"/>
              <w:right w:val="single" w:color="CCCCCC" w:sz="1"/>
            </w:tcBorders>
            <w:shd w:fill="EEF3F9" w:val="clear"/>
            <w:tcMar>
              <w:top w:type="dxa" w:w="70"/>
              <w:left w:type="dxa" w:w="110"/>
              <w:bottom w:type="dxa" w:w="70"/>
              <w:right w:type="dxa" w:w="110"/>
            </w:tcMar>
          </w:tcPr>
          <w:p>
            <w:pPr>
              <w:spacing w:after="0" w:line="264"/>
              <w:jc w:val="left"/>
            </w:pPr>
            <w:r>
              <w:rPr>
                <w:b w:val="false"/>
                <w:bCs w:val="false"/>
                <w:color w:val="000000"/>
                <w:sz w:val="19"/>
                <w:szCs w:val="19"/>
              </w:rPr>
              <w:t xml:space="preserve">Apple HealthKit + Garmin Health/Connect (+ Health Connect on Android)</w:t>
            </w:r>
          </w:p>
        </w:tc>
        <w:tc>
          <w:tcPr>
            <w:tcW w:type="dxa" w:w="3860"/>
            <w:tcBorders>
              <w:top w:val="single" w:color="CCCCCC" w:sz="1"/>
              <w:left w:val="single" w:color="CCCCCC" w:sz="1"/>
              <w:bottom w:val="single" w:color="CCCCCC" w:sz="1"/>
              <w:right w:val="single" w:color="CCCCCC" w:sz="1"/>
            </w:tcBorders>
            <w:shd w:fill="EEF3F9" w:val="clear"/>
            <w:tcMar>
              <w:top w:type="dxa" w:w="70"/>
              <w:left w:type="dxa" w:w="110"/>
              <w:bottom w:type="dxa" w:w="70"/>
              <w:right w:type="dxa" w:w="110"/>
            </w:tcMar>
          </w:tcPr>
          <w:p>
            <w:pPr>
              <w:spacing w:after="0" w:line="264"/>
              <w:jc w:val="left"/>
            </w:pPr>
            <w:r>
              <w:rPr>
                <w:b w:val="false"/>
                <w:bCs w:val="false"/>
                <w:color w:val="000000"/>
                <w:sz w:val="19"/>
                <w:szCs w:val="19"/>
              </w:rPr>
              <w:t xml:space="preserve">The data hybrid athletes already generate; biggest entry-reduction lever</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64"/>
              <w:jc w:val="left"/>
            </w:pPr>
            <w:r>
              <w:rPr>
                <w:b w:val="false"/>
                <w:bCs w:val="false"/>
                <w:color w:val="000000"/>
                <w:sz w:val="19"/>
                <w:szCs w:val="19"/>
              </w:rPr>
              <w:t xml:space="preserve">API</w:t>
            </w:r>
          </w:p>
        </w:tc>
        <w:tc>
          <w:tcPr>
            <w:tcW w:type="dxa" w:w="3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64"/>
              <w:jc w:val="left"/>
            </w:pPr>
            <w:r>
              <w:rPr>
                <w:b w:val="false"/>
                <w:bCs w:val="false"/>
                <w:color w:val="000000"/>
                <w:sz w:val="19"/>
                <w:szCs w:val="19"/>
              </w:rPr>
              <w:t xml:space="preserve">Either ASP.NET Core (your strength) or Node/Fastify + tRPC</w:t>
            </w:r>
          </w:p>
        </w:tc>
        <w:tc>
          <w:tcPr>
            <w:tcW w:type="dxa" w:w="38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64"/>
              <w:jc w:val="left"/>
            </w:pPr>
            <w:r>
              <w:rPr>
                <w:b w:val="false"/>
                <w:bCs w:val="false"/>
                <w:color w:val="000000"/>
                <w:sz w:val="19"/>
                <w:szCs w:val="19"/>
              </w:rPr>
              <w:t xml:space="preserve">Pick .NET if you want to lean on existing muscle; tRPC if you want end-to-end TS types</w:t>
            </w:r>
          </w:p>
        </w:tc>
      </w:tr>
      <w:tr>
        <w:trPr>
          <w:tblHeader w:val="false"/>
        </w:trPr>
        <w:tc>
          <w:tcPr>
            <w:tcW w:type="dxa" w:w="1800"/>
            <w:tcBorders>
              <w:top w:val="single" w:color="CCCCCC" w:sz="1"/>
              <w:left w:val="single" w:color="CCCCCC" w:sz="1"/>
              <w:bottom w:val="single" w:color="CCCCCC" w:sz="1"/>
              <w:right w:val="single" w:color="CCCCCC" w:sz="1"/>
            </w:tcBorders>
            <w:shd w:fill="EEF3F9" w:val="clear"/>
            <w:tcMar>
              <w:top w:type="dxa" w:w="70"/>
              <w:left w:type="dxa" w:w="110"/>
              <w:bottom w:type="dxa" w:w="70"/>
              <w:right w:type="dxa" w:w="110"/>
            </w:tcMar>
          </w:tcPr>
          <w:p>
            <w:pPr>
              <w:spacing w:after="0" w:line="264"/>
              <w:jc w:val="left"/>
            </w:pPr>
            <w:r>
              <w:rPr>
                <w:b w:val="false"/>
                <w:bCs w:val="false"/>
                <w:color w:val="000000"/>
                <w:sz w:val="19"/>
                <w:szCs w:val="19"/>
              </w:rPr>
              <w:t xml:space="preserve">Load/Nutrition engine</w:t>
            </w:r>
          </w:p>
        </w:tc>
        <w:tc>
          <w:tcPr>
            <w:tcW w:type="dxa" w:w="3100"/>
            <w:tcBorders>
              <w:top w:val="single" w:color="CCCCCC" w:sz="1"/>
              <w:left w:val="single" w:color="CCCCCC" w:sz="1"/>
              <w:bottom w:val="single" w:color="CCCCCC" w:sz="1"/>
              <w:right w:val="single" w:color="CCCCCC" w:sz="1"/>
            </w:tcBorders>
            <w:shd w:fill="EEF3F9" w:val="clear"/>
            <w:tcMar>
              <w:top w:type="dxa" w:w="70"/>
              <w:left w:type="dxa" w:w="110"/>
              <w:bottom w:type="dxa" w:w="70"/>
              <w:right w:type="dxa" w:w="110"/>
            </w:tcMar>
          </w:tcPr>
          <w:p>
            <w:pPr>
              <w:spacing w:after="0" w:line="264"/>
              <w:jc w:val="left"/>
            </w:pPr>
            <w:r>
              <w:rPr>
                <w:b w:val="false"/>
                <w:bCs w:val="false"/>
                <w:color w:val="000000"/>
                <w:sz w:val="19"/>
                <w:szCs w:val="19"/>
              </w:rPr>
              <w:t xml:space="preserve">Isolated TypeScript package (shared client+server)</w:t>
            </w:r>
          </w:p>
        </w:tc>
        <w:tc>
          <w:tcPr>
            <w:tcW w:type="dxa" w:w="3860"/>
            <w:tcBorders>
              <w:top w:val="single" w:color="CCCCCC" w:sz="1"/>
              <w:left w:val="single" w:color="CCCCCC" w:sz="1"/>
              <w:bottom w:val="single" w:color="CCCCCC" w:sz="1"/>
              <w:right w:val="single" w:color="CCCCCC" w:sz="1"/>
            </w:tcBorders>
            <w:shd w:fill="EEF3F9" w:val="clear"/>
            <w:tcMar>
              <w:top w:type="dxa" w:w="70"/>
              <w:left w:type="dxa" w:w="110"/>
              <w:bottom w:type="dxa" w:w="70"/>
              <w:right w:type="dxa" w:w="110"/>
            </w:tcMar>
          </w:tcPr>
          <w:p>
            <w:pPr>
              <w:spacing w:after="0" w:line="264"/>
              <w:jc w:val="left"/>
            </w:pPr>
            <w:r>
              <w:rPr>
                <w:b w:val="false"/>
                <w:bCs w:val="false"/>
                <w:color w:val="000000"/>
                <w:sz w:val="19"/>
                <w:szCs w:val="19"/>
              </w:rPr>
              <w:t xml:space="preserve">Pure functions, fully unit-tested; the IP lives here, runs on device for instant feedback</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64"/>
              <w:jc w:val="left"/>
            </w:pPr>
            <w:r>
              <w:rPr>
                <w:b w:val="false"/>
                <w:bCs w:val="false"/>
                <w:color w:val="000000"/>
                <w:sz w:val="19"/>
                <w:szCs w:val="19"/>
              </w:rPr>
              <w:t xml:space="preserve">Database</w:t>
            </w:r>
          </w:p>
        </w:tc>
        <w:tc>
          <w:tcPr>
            <w:tcW w:type="dxa" w:w="3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64"/>
              <w:jc w:val="left"/>
            </w:pPr>
            <w:r>
              <w:rPr>
                <w:b w:val="false"/>
                <w:bCs w:val="false"/>
                <w:color w:val="000000"/>
                <w:sz w:val="19"/>
                <w:szCs w:val="19"/>
              </w:rPr>
              <w:t xml:space="preserve">Postgres (Azure Database for PostgreSQL)</w:t>
            </w:r>
          </w:p>
        </w:tc>
        <w:tc>
          <w:tcPr>
            <w:tcW w:type="dxa" w:w="38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64"/>
              <w:jc w:val="left"/>
            </w:pPr>
            <w:r>
              <w:rPr>
                <w:b w:val="false"/>
                <w:bCs w:val="false"/>
                <w:color w:val="000000"/>
                <w:sz w:val="19"/>
                <w:szCs w:val="19"/>
              </w:rPr>
              <w:t xml:space="preserve">Relational fits the schema; JSONB for e1RM maps and flexible fields</w:t>
            </w:r>
          </w:p>
        </w:tc>
      </w:tr>
      <w:tr>
        <w:trPr>
          <w:tblHeader w:val="false"/>
        </w:trPr>
        <w:tc>
          <w:tcPr>
            <w:tcW w:type="dxa" w:w="1800"/>
            <w:tcBorders>
              <w:top w:val="single" w:color="CCCCCC" w:sz="1"/>
              <w:left w:val="single" w:color="CCCCCC" w:sz="1"/>
              <w:bottom w:val="single" w:color="CCCCCC" w:sz="1"/>
              <w:right w:val="single" w:color="CCCCCC" w:sz="1"/>
            </w:tcBorders>
            <w:shd w:fill="EEF3F9" w:val="clear"/>
            <w:tcMar>
              <w:top w:type="dxa" w:w="70"/>
              <w:left w:type="dxa" w:w="110"/>
              <w:bottom w:type="dxa" w:w="70"/>
              <w:right w:type="dxa" w:w="110"/>
            </w:tcMar>
          </w:tcPr>
          <w:p>
            <w:pPr>
              <w:spacing w:after="0" w:line="264"/>
              <w:jc w:val="left"/>
            </w:pPr>
            <w:r>
              <w:rPr>
                <w:b w:val="false"/>
                <w:bCs w:val="false"/>
                <w:color w:val="000000"/>
                <w:sz w:val="19"/>
                <w:szCs w:val="19"/>
              </w:rPr>
              <w:t xml:space="preserve">Auth</w:t>
            </w:r>
          </w:p>
        </w:tc>
        <w:tc>
          <w:tcPr>
            <w:tcW w:type="dxa" w:w="3100"/>
            <w:tcBorders>
              <w:top w:val="single" w:color="CCCCCC" w:sz="1"/>
              <w:left w:val="single" w:color="CCCCCC" w:sz="1"/>
              <w:bottom w:val="single" w:color="CCCCCC" w:sz="1"/>
              <w:right w:val="single" w:color="CCCCCC" w:sz="1"/>
            </w:tcBorders>
            <w:shd w:fill="EEF3F9" w:val="clear"/>
            <w:tcMar>
              <w:top w:type="dxa" w:w="70"/>
              <w:left w:type="dxa" w:w="110"/>
              <w:bottom w:type="dxa" w:w="70"/>
              <w:right w:type="dxa" w:w="110"/>
            </w:tcMar>
          </w:tcPr>
          <w:p>
            <w:pPr>
              <w:spacing w:after="0" w:line="264"/>
              <w:jc w:val="left"/>
            </w:pPr>
            <w:r>
              <w:rPr>
                <w:b w:val="false"/>
                <w:bCs w:val="false"/>
                <w:color w:val="000000"/>
                <w:sz w:val="19"/>
                <w:szCs w:val="19"/>
              </w:rPr>
              <w:t xml:space="preserve">Managed (Clerk / Auth0 / Azure AD B2C)</w:t>
            </w:r>
          </w:p>
        </w:tc>
        <w:tc>
          <w:tcPr>
            <w:tcW w:type="dxa" w:w="3860"/>
            <w:tcBorders>
              <w:top w:val="single" w:color="CCCCCC" w:sz="1"/>
              <w:left w:val="single" w:color="CCCCCC" w:sz="1"/>
              <w:bottom w:val="single" w:color="CCCCCC" w:sz="1"/>
              <w:right w:val="single" w:color="CCCCCC" w:sz="1"/>
            </w:tcBorders>
            <w:shd w:fill="EEF3F9" w:val="clear"/>
            <w:tcMar>
              <w:top w:type="dxa" w:w="70"/>
              <w:left w:type="dxa" w:w="110"/>
              <w:bottom w:type="dxa" w:w="70"/>
              <w:right w:type="dxa" w:w="110"/>
            </w:tcMar>
          </w:tcPr>
          <w:p>
            <w:pPr>
              <w:spacing w:after="0" w:line="264"/>
              <w:jc w:val="left"/>
            </w:pPr>
            <w:r>
              <w:rPr>
                <w:b w:val="false"/>
                <w:bCs w:val="false"/>
                <w:color w:val="000000"/>
                <w:sz w:val="19"/>
                <w:szCs w:val="19"/>
              </w:rPr>
              <w:t xml:space="preserve">Don't build auth; ship faster</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64"/>
              <w:jc w:val="left"/>
            </w:pPr>
            <w:r>
              <w:rPr>
                <w:b w:val="false"/>
                <w:bCs w:val="false"/>
                <w:color w:val="000000"/>
                <w:sz w:val="19"/>
                <w:szCs w:val="19"/>
              </w:rPr>
              <w:t xml:space="preserve">Hosting</w:t>
            </w:r>
          </w:p>
        </w:tc>
        <w:tc>
          <w:tcPr>
            <w:tcW w:type="dxa" w:w="3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64"/>
              <w:jc w:val="left"/>
            </w:pPr>
            <w:r>
              <w:rPr>
                <w:b w:val="false"/>
                <w:bCs w:val="false"/>
                <w:color w:val="000000"/>
                <w:sz w:val="19"/>
                <w:szCs w:val="19"/>
              </w:rPr>
              <w:t xml:space="preserve">Azure (Container Apps + Postgres)</w:t>
            </w:r>
          </w:p>
        </w:tc>
        <w:tc>
          <w:tcPr>
            <w:tcW w:type="dxa" w:w="38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64"/>
              <w:jc w:val="left"/>
            </w:pPr>
            <w:r>
              <w:rPr>
                <w:b w:val="false"/>
                <w:bCs w:val="false"/>
                <w:color w:val="000000"/>
                <w:sz w:val="19"/>
                <w:szCs w:val="19"/>
              </w:rPr>
              <w:t xml:space="preserve">Your existing cloud; cheap to start, scales later</w:t>
            </w:r>
          </w:p>
        </w:tc>
      </w:tr>
    </w:tbl>
    <w:p>
      <w:pPr>
        <w:pStyle w:val="Heading2"/>
      </w:pPr>
      <w:r>
        <w:t xml:space="preserve">9.2 Why local-first matters here</w:t>
      </w:r>
    </w:p>
    <w:p>
      <w:pPr>
        <w:pStyle w:val="ListParagraph"/>
        <w:numPr>
          <w:ilvl w:val="0"/>
          <w:numId w:val="2"/>
        </w:numPr>
        <w:spacing w:after="60" w:line="270"/>
      </w:pPr>
      <w:r>
        <w:t xml:space="preserve">Athletes log mid-workout, often with no signal (basements, trails). Writes must never block on the network.</w:t>
      </w:r>
    </w:p>
    <w:p>
      <w:pPr>
        <w:pStyle w:val="ListParagraph"/>
        <w:numPr>
          <w:ilvl w:val="0"/>
          <w:numId w:val="2"/>
        </w:numPr>
        <w:spacing w:after="60" w:line="270"/>
      </w:pPr>
      <w:r>
        <w:t xml:space="preserve">HSS and macro targets recompute </w:t>
      </w:r>
      <w:r>
        <w:rPr>
          <w:b/>
          <w:bCs/>
        </w:rPr>
        <w:t xml:space="preserve">instantly on-device</w:t>
      </w:r>
      <w:r>
        <w:t xml:space="preserve"> from the shared TS engine — the feedback loop is the product.</w:t>
      </w:r>
    </w:p>
    <w:p>
      <w:pPr>
        <w:pStyle w:val="ListParagraph"/>
        <w:numPr>
          <w:ilvl w:val="0"/>
          <w:numId w:val="2"/>
        </w:numPr>
        <w:spacing w:after="60" w:line="270"/>
      </w:pPr>
      <w:r>
        <w:t xml:space="preserve">Background sync reconciles to Postgres; conflicts are last-write-wins on independent rows (logs rarely collide).</w:t>
      </w:r>
    </w:p>
    <w:p>
      <w:pPr>
        <w:pStyle w:val="Heading2"/>
      </w:pPr>
      <w:r>
        <w:t xml:space="preserve">9.3 The engine package (the defensible core)</w:t>
      </w:r>
    </w:p>
    <w:p>
      <w:pPr>
        <w:pStyle w:val="ListParagraph"/>
        <w:numPr>
          <w:ilvl w:val="0"/>
          <w:numId w:val="2"/>
        </w:numPr>
        <w:spacing w:after="60" w:line="270"/>
      </w:pPr>
      <w:r>
        <w:t xml:space="preserve">Pure, dependency-free TS: `computeStrengthStress()`, `computeEnduranceStress()`, `rollupDailyLoad()`, `readinessBand()`, `dailyMacroTarget()`.</w:t>
      </w:r>
    </w:p>
    <w:p>
      <w:pPr>
        <w:pStyle w:val="ListParagraph"/>
        <w:numPr>
          <w:ilvl w:val="0"/>
          <w:numId w:val="2"/>
        </w:numPr>
        <w:spacing w:after="60" w:line="270"/>
      </w:pPr>
      <w:r>
        <w:t xml:space="preserve">Same code runs on device (instant UX) and on server (authoritative recompute, backfills).</w:t>
      </w:r>
    </w:p>
    <w:p>
      <w:pPr>
        <w:pStyle w:val="ListParagraph"/>
        <w:numPr>
          <w:ilvl w:val="0"/>
          <w:numId w:val="2"/>
        </w:numPr>
        <w:spacing w:after="60" w:line="270"/>
      </w:pPr>
      <w:r>
        <w:t xml:space="preserve">Golden-file tests over real sessions; constants in a versioned config so calibration doesn't require app releases.</w:t>
      </w:r>
    </w:p>
    <w:p>
      <w:pPr>
        <w:pStyle w:val="Heading2"/>
      </w:pPr>
      <w:r>
        <w:t xml:space="preserve">9.4 Integration &amp; sync flow</w:t>
      </w:r>
    </w:p>
    <w:p>
      <w:pPr>
        <w:pStyle w:val="ListParagraph"/>
        <w:numPr>
          <w:ilvl w:val="0"/>
          <w:numId w:val="3"/>
        </w:numPr>
        <w:spacing w:after="60" w:line="270"/>
      </w:pPr>
      <w:r>
        <w:t xml:space="preserve">User logs a lift/run locally → SQLite write → engine computes session HSS on-device → UI updates.</w:t>
      </w:r>
    </w:p>
    <w:p>
      <w:pPr>
        <w:pStyle w:val="ListParagraph"/>
        <w:numPr>
          <w:ilvl w:val="0"/>
          <w:numId w:val="3"/>
        </w:numPr>
        <w:spacing w:after="60" w:line="270"/>
      </w:pPr>
      <w:r>
        <w:t xml:space="preserve">HealthKit/Garmin deliver runs, HR, sleep, weight → mapped to workout/endurance_segment/body_metric.</w:t>
      </w:r>
    </w:p>
    <w:p>
      <w:pPr>
        <w:pStyle w:val="ListParagraph"/>
        <w:numPr>
          <w:ilvl w:val="0"/>
          <w:numId w:val="3"/>
        </w:numPr>
        <w:spacing w:after="60" w:line="270"/>
      </w:pPr>
      <w:r>
        <w:t xml:space="preserve">On reconnect, a sync worker pushes new rows to the API → Postgres → server recomputes load_daily + nutrition_target authoritatively.</w:t>
      </w:r>
    </w:p>
    <w:p>
      <w:pPr>
        <w:pStyle w:val="ListParagraph"/>
        <w:numPr>
          <w:ilvl w:val="0"/>
          <w:numId w:val="3"/>
        </w:numPr>
        <w:spacing w:after="60" w:line="270"/>
      </w:pPr>
      <w:r>
        <w:t xml:space="preserve">Derived rows sync back; client shows reconciled readiness band and tomorrow's macro target.</w:t>
      </w:r>
    </w:p>
    <w:p>
      <w:pPr>
        <w:pStyle w:val="Heading2"/>
      </w:pPr>
      <w:r>
        <w:t xml:space="preserve">9.5 Build sequence</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500"/>
        <w:gridCol w:w="4100"/>
        <w:gridCol w:w="3160"/>
      </w:tblGrid>
      <w:tr>
        <w:trPr>
          <w:tblHeader/>
        </w:trPr>
        <w:tc>
          <w:tcPr>
            <w:tcW w:type="dxa" w:w="1500"/>
            <w:tcBorders>
              <w:top w:val="single" w:color="CCCCCC" w:sz="1"/>
              <w:left w:val="single" w:color="CCCCCC" w:sz="1"/>
              <w:bottom w:val="single" w:color="CCCCCC" w:sz="1"/>
              <w:right w:val="single" w:color="CCCCCC" w:sz="1"/>
            </w:tcBorders>
            <w:shd w:fill="1B2A4A" w:val="clear"/>
            <w:tcMar>
              <w:top w:type="dxa" w:w="70"/>
              <w:left w:type="dxa" w:w="110"/>
              <w:bottom w:type="dxa" w:w="70"/>
              <w:right w:type="dxa" w:w="110"/>
            </w:tcMar>
          </w:tcPr>
          <w:p>
            <w:pPr>
              <w:spacing w:after="0" w:line="264"/>
              <w:jc w:val="left"/>
            </w:pPr>
            <w:r>
              <w:rPr>
                <w:b/>
                <w:bCs/>
                <w:color w:val="FFFFFF"/>
                <w:sz w:val="19"/>
                <w:szCs w:val="19"/>
              </w:rPr>
              <w:t xml:space="preserve">Phase</w:t>
            </w:r>
          </w:p>
        </w:tc>
        <w:tc>
          <w:tcPr>
            <w:tcW w:type="dxa" w:w="4100"/>
            <w:tcBorders>
              <w:top w:val="single" w:color="CCCCCC" w:sz="1"/>
              <w:left w:val="single" w:color="CCCCCC" w:sz="1"/>
              <w:bottom w:val="single" w:color="CCCCCC" w:sz="1"/>
              <w:right w:val="single" w:color="CCCCCC" w:sz="1"/>
            </w:tcBorders>
            <w:shd w:fill="1B2A4A" w:val="clear"/>
            <w:tcMar>
              <w:top w:type="dxa" w:w="70"/>
              <w:left w:type="dxa" w:w="110"/>
              <w:bottom w:type="dxa" w:w="70"/>
              <w:right w:type="dxa" w:w="110"/>
            </w:tcMar>
          </w:tcPr>
          <w:p>
            <w:pPr>
              <w:spacing w:after="0" w:line="264"/>
              <w:jc w:val="left"/>
            </w:pPr>
            <w:r>
              <w:rPr>
                <w:b/>
                <w:bCs/>
                <w:color w:val="FFFFFF"/>
                <w:sz w:val="19"/>
                <w:szCs w:val="19"/>
              </w:rPr>
              <w:t xml:space="preserve">Deliverable</w:t>
            </w:r>
          </w:p>
        </w:tc>
        <w:tc>
          <w:tcPr>
            <w:tcW w:type="dxa" w:w="3160"/>
            <w:tcBorders>
              <w:top w:val="single" w:color="CCCCCC" w:sz="1"/>
              <w:left w:val="single" w:color="CCCCCC" w:sz="1"/>
              <w:bottom w:val="single" w:color="CCCCCC" w:sz="1"/>
              <w:right w:val="single" w:color="CCCCCC" w:sz="1"/>
            </w:tcBorders>
            <w:shd w:fill="1B2A4A" w:val="clear"/>
            <w:tcMar>
              <w:top w:type="dxa" w:w="70"/>
              <w:left w:type="dxa" w:w="110"/>
              <w:bottom w:type="dxa" w:w="70"/>
              <w:right w:type="dxa" w:w="110"/>
            </w:tcMar>
          </w:tcPr>
          <w:p>
            <w:pPr>
              <w:spacing w:after="0" w:line="264"/>
              <w:jc w:val="left"/>
            </w:pPr>
            <w:r>
              <w:rPr>
                <w:b/>
                <w:bCs/>
                <w:color w:val="FFFFFF"/>
                <w:sz w:val="19"/>
                <w:szCs w:val="19"/>
              </w:rPr>
              <w:t xml:space="preserve">Proves</w:t>
            </w:r>
          </w:p>
        </w:tc>
      </w:tr>
      <w:tr>
        <w:trPr>
          <w:tblHeader w:val="false"/>
        </w:trPr>
        <w:tc>
          <w:tcPr>
            <w:tcW w:type="dxa" w:w="1500"/>
            <w:tcBorders>
              <w:top w:val="single" w:color="CCCCCC" w:sz="1"/>
              <w:left w:val="single" w:color="CCCCCC" w:sz="1"/>
              <w:bottom w:val="single" w:color="CCCCCC" w:sz="1"/>
              <w:right w:val="single" w:color="CCCCCC" w:sz="1"/>
            </w:tcBorders>
            <w:shd w:fill="EEF3F9" w:val="clear"/>
            <w:tcMar>
              <w:top w:type="dxa" w:w="70"/>
              <w:left w:type="dxa" w:w="110"/>
              <w:bottom w:type="dxa" w:w="70"/>
              <w:right w:type="dxa" w:w="110"/>
            </w:tcMar>
          </w:tcPr>
          <w:p>
            <w:pPr>
              <w:spacing w:after="0" w:line="264"/>
              <w:jc w:val="left"/>
            </w:pPr>
            <w:r>
              <w:rPr>
                <w:b w:val="false"/>
                <w:bCs w:val="false"/>
                <w:color w:val="000000"/>
                <w:sz w:val="19"/>
                <w:szCs w:val="19"/>
              </w:rPr>
              <w:t xml:space="preserve">0 — Engine</w:t>
            </w:r>
          </w:p>
        </w:tc>
        <w:tc>
          <w:tcPr>
            <w:tcW w:type="dxa" w:w="4100"/>
            <w:tcBorders>
              <w:top w:val="single" w:color="CCCCCC" w:sz="1"/>
              <w:left w:val="single" w:color="CCCCCC" w:sz="1"/>
              <w:bottom w:val="single" w:color="CCCCCC" w:sz="1"/>
              <w:right w:val="single" w:color="CCCCCC" w:sz="1"/>
            </w:tcBorders>
            <w:shd w:fill="EEF3F9" w:val="clear"/>
            <w:tcMar>
              <w:top w:type="dxa" w:w="70"/>
              <w:left w:type="dxa" w:w="110"/>
              <w:bottom w:type="dxa" w:w="70"/>
              <w:right w:type="dxa" w:w="110"/>
            </w:tcMar>
          </w:tcPr>
          <w:p>
            <w:pPr>
              <w:spacing w:after="0" w:line="264"/>
              <w:jc w:val="left"/>
            </w:pPr>
            <w:r>
              <w:rPr>
                <w:b w:val="false"/>
                <w:bCs w:val="false"/>
                <w:color w:val="000000"/>
                <w:sz w:val="19"/>
                <w:szCs w:val="19"/>
              </w:rPr>
              <w:t xml:space="preserve">TS load + macro package, tested in isolation</w:t>
            </w:r>
          </w:p>
        </w:tc>
        <w:tc>
          <w:tcPr>
            <w:tcW w:type="dxa" w:w="3160"/>
            <w:tcBorders>
              <w:top w:val="single" w:color="CCCCCC" w:sz="1"/>
              <w:left w:val="single" w:color="CCCCCC" w:sz="1"/>
              <w:bottom w:val="single" w:color="CCCCCC" w:sz="1"/>
              <w:right w:val="single" w:color="CCCCCC" w:sz="1"/>
            </w:tcBorders>
            <w:shd w:fill="EEF3F9" w:val="clear"/>
            <w:tcMar>
              <w:top w:type="dxa" w:w="70"/>
              <w:left w:type="dxa" w:w="110"/>
              <w:bottom w:type="dxa" w:w="70"/>
              <w:right w:type="dxa" w:w="110"/>
            </w:tcMar>
          </w:tcPr>
          <w:p>
            <w:pPr>
              <w:spacing w:after="0" w:line="264"/>
              <w:jc w:val="left"/>
            </w:pPr>
            <w:r>
              <w:rPr>
                <w:b w:val="false"/>
                <w:bCs w:val="false"/>
                <w:color w:val="000000"/>
                <w:sz w:val="19"/>
                <w:szCs w:val="19"/>
              </w:rPr>
              <w:t xml:space="preserve">The moat works before any UI</w:t>
            </w:r>
          </w:p>
        </w:tc>
      </w:tr>
      <w:tr>
        <w:trPr>
          <w:tblHeader w:val="false"/>
        </w:trPr>
        <w:tc>
          <w:tcPr>
            <w:tcW w:type="dxa" w:w="1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64"/>
              <w:jc w:val="left"/>
            </w:pPr>
            <w:r>
              <w:rPr>
                <w:b w:val="false"/>
                <w:bCs w:val="false"/>
                <w:color w:val="000000"/>
                <w:sz w:val="19"/>
                <w:szCs w:val="19"/>
              </w:rPr>
              <w:t xml:space="preserve">1 — Logger</w:t>
            </w:r>
          </w:p>
        </w:tc>
        <w:tc>
          <w:tcPr>
            <w:tcW w:type="dxa" w:w="4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64"/>
              <w:jc w:val="left"/>
            </w:pPr>
            <w:r>
              <w:rPr>
                <w:b w:val="false"/>
                <w:bCs w:val="false"/>
                <w:color w:val="000000"/>
                <w:sz w:val="19"/>
                <w:szCs w:val="19"/>
              </w:rPr>
              <w:t xml:space="preserve">RN app: lift + run logging, local-first, on-device HSS</w:t>
            </w:r>
          </w:p>
        </w:tc>
        <w:tc>
          <w:tcPr>
            <w:tcW w:type="dxa" w:w="3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64"/>
              <w:jc w:val="left"/>
            </w:pPr>
            <w:r>
              <w:rPr>
                <w:b w:val="false"/>
                <w:bCs w:val="false"/>
                <w:color w:val="000000"/>
                <w:sz w:val="19"/>
                <w:szCs w:val="19"/>
              </w:rPr>
              <w:t xml:space="preserve">Daily habit + the one-number hook</w:t>
            </w:r>
          </w:p>
        </w:tc>
      </w:tr>
      <w:tr>
        <w:trPr>
          <w:tblHeader w:val="false"/>
        </w:trPr>
        <w:tc>
          <w:tcPr>
            <w:tcW w:type="dxa" w:w="1500"/>
            <w:tcBorders>
              <w:top w:val="single" w:color="CCCCCC" w:sz="1"/>
              <w:left w:val="single" w:color="CCCCCC" w:sz="1"/>
              <w:bottom w:val="single" w:color="CCCCCC" w:sz="1"/>
              <w:right w:val="single" w:color="CCCCCC" w:sz="1"/>
            </w:tcBorders>
            <w:shd w:fill="EEF3F9" w:val="clear"/>
            <w:tcMar>
              <w:top w:type="dxa" w:w="70"/>
              <w:left w:type="dxa" w:w="110"/>
              <w:bottom w:type="dxa" w:w="70"/>
              <w:right w:type="dxa" w:w="110"/>
            </w:tcMar>
          </w:tcPr>
          <w:p>
            <w:pPr>
              <w:spacing w:after="0" w:line="264"/>
              <w:jc w:val="left"/>
            </w:pPr>
            <w:r>
              <w:rPr>
                <w:b w:val="false"/>
                <w:bCs w:val="false"/>
                <w:color w:val="000000"/>
                <w:sz w:val="19"/>
                <w:szCs w:val="19"/>
              </w:rPr>
              <w:t xml:space="preserve">2 — Sync + Health</w:t>
            </w:r>
          </w:p>
        </w:tc>
        <w:tc>
          <w:tcPr>
            <w:tcW w:type="dxa" w:w="4100"/>
            <w:tcBorders>
              <w:top w:val="single" w:color="CCCCCC" w:sz="1"/>
              <w:left w:val="single" w:color="CCCCCC" w:sz="1"/>
              <w:bottom w:val="single" w:color="CCCCCC" w:sz="1"/>
              <w:right w:val="single" w:color="CCCCCC" w:sz="1"/>
            </w:tcBorders>
            <w:shd w:fill="EEF3F9" w:val="clear"/>
            <w:tcMar>
              <w:top w:type="dxa" w:w="70"/>
              <w:left w:type="dxa" w:w="110"/>
              <w:bottom w:type="dxa" w:w="70"/>
              <w:right w:type="dxa" w:w="110"/>
            </w:tcMar>
          </w:tcPr>
          <w:p>
            <w:pPr>
              <w:spacing w:after="0" w:line="264"/>
              <w:jc w:val="left"/>
            </w:pPr>
            <w:r>
              <w:rPr>
                <w:b w:val="false"/>
                <w:bCs w:val="false"/>
                <w:color w:val="000000"/>
                <w:sz w:val="19"/>
                <w:szCs w:val="19"/>
              </w:rPr>
              <w:t xml:space="preserve">API + Postgres + HealthKit/Garmin import</w:t>
            </w:r>
          </w:p>
        </w:tc>
        <w:tc>
          <w:tcPr>
            <w:tcW w:type="dxa" w:w="3160"/>
            <w:tcBorders>
              <w:top w:val="single" w:color="CCCCCC" w:sz="1"/>
              <w:left w:val="single" w:color="CCCCCC" w:sz="1"/>
              <w:bottom w:val="single" w:color="CCCCCC" w:sz="1"/>
              <w:right w:val="single" w:color="CCCCCC" w:sz="1"/>
            </w:tcBorders>
            <w:shd w:fill="EEF3F9" w:val="clear"/>
            <w:tcMar>
              <w:top w:type="dxa" w:w="70"/>
              <w:left w:type="dxa" w:w="110"/>
              <w:bottom w:type="dxa" w:w="70"/>
              <w:right w:type="dxa" w:w="110"/>
            </w:tcMar>
          </w:tcPr>
          <w:p>
            <w:pPr>
              <w:spacing w:after="0" w:line="264"/>
              <w:jc w:val="left"/>
            </w:pPr>
            <w:r>
              <w:rPr>
                <w:b w:val="false"/>
                <w:bCs w:val="false"/>
                <w:color w:val="000000"/>
                <w:sz w:val="19"/>
                <w:szCs w:val="19"/>
              </w:rPr>
              <w:t xml:space="preserve">Entry friction drops; data is trustworthy</w:t>
            </w:r>
          </w:p>
        </w:tc>
      </w:tr>
      <w:tr>
        <w:trPr>
          <w:tblHeader w:val="false"/>
        </w:trPr>
        <w:tc>
          <w:tcPr>
            <w:tcW w:type="dxa" w:w="1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64"/>
              <w:jc w:val="left"/>
            </w:pPr>
            <w:r>
              <w:rPr>
                <w:b w:val="false"/>
                <w:bCs w:val="false"/>
                <w:color w:val="000000"/>
                <w:sz w:val="19"/>
                <w:szCs w:val="19"/>
              </w:rPr>
              <w:t xml:space="preserve">3 — Nutrition</w:t>
            </w:r>
          </w:p>
        </w:tc>
        <w:tc>
          <w:tcPr>
            <w:tcW w:type="dxa" w:w="4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64"/>
              <w:jc w:val="left"/>
            </w:pPr>
            <w:r>
              <w:rPr>
                <w:b w:val="false"/>
                <w:bCs w:val="false"/>
                <w:color w:val="000000"/>
                <w:sz w:val="19"/>
                <w:szCs w:val="19"/>
              </w:rPr>
              <w:t xml:space="preserve">Food logging + day-type adaptive targets</w:t>
            </w:r>
          </w:p>
        </w:tc>
        <w:tc>
          <w:tcPr>
            <w:tcW w:type="dxa" w:w="3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64"/>
              <w:jc w:val="left"/>
            </w:pPr>
            <w:r>
              <w:rPr>
                <w:b w:val="false"/>
                <w:bCs w:val="false"/>
                <w:color w:val="000000"/>
                <w:sz w:val="19"/>
                <w:szCs w:val="19"/>
              </w:rPr>
              <w:t xml:space="preserve">Collapses the 3rd app; completes the wedge</w:t>
            </w:r>
          </w:p>
        </w:tc>
      </w:tr>
      <w:tr>
        <w:trPr>
          <w:tblHeader w:val="false"/>
        </w:trPr>
        <w:tc>
          <w:tcPr>
            <w:tcW w:type="dxa" w:w="1500"/>
            <w:tcBorders>
              <w:top w:val="single" w:color="CCCCCC" w:sz="1"/>
              <w:left w:val="single" w:color="CCCCCC" w:sz="1"/>
              <w:bottom w:val="single" w:color="CCCCCC" w:sz="1"/>
              <w:right w:val="single" w:color="CCCCCC" w:sz="1"/>
            </w:tcBorders>
            <w:shd w:fill="EEF3F9" w:val="clear"/>
            <w:tcMar>
              <w:top w:type="dxa" w:w="70"/>
              <w:left w:type="dxa" w:w="110"/>
              <w:bottom w:type="dxa" w:w="70"/>
              <w:right w:type="dxa" w:w="110"/>
            </w:tcMar>
          </w:tcPr>
          <w:p>
            <w:pPr>
              <w:spacing w:after="0" w:line="264"/>
              <w:jc w:val="left"/>
            </w:pPr>
            <w:r>
              <w:rPr>
                <w:b w:val="false"/>
                <w:bCs w:val="false"/>
                <w:color w:val="000000"/>
                <w:sz w:val="19"/>
                <w:szCs w:val="19"/>
              </w:rPr>
              <w:t xml:space="preserve">4 — Insight</w:t>
            </w:r>
          </w:p>
        </w:tc>
        <w:tc>
          <w:tcPr>
            <w:tcW w:type="dxa" w:w="4100"/>
            <w:tcBorders>
              <w:top w:val="single" w:color="CCCCCC" w:sz="1"/>
              <w:left w:val="single" w:color="CCCCCC" w:sz="1"/>
              <w:bottom w:val="single" w:color="CCCCCC" w:sz="1"/>
              <w:right w:val="single" w:color="CCCCCC" w:sz="1"/>
            </w:tcBorders>
            <w:shd w:fill="EEF3F9" w:val="clear"/>
            <w:tcMar>
              <w:top w:type="dxa" w:w="70"/>
              <w:left w:type="dxa" w:w="110"/>
              <w:bottom w:type="dxa" w:w="70"/>
              <w:right w:type="dxa" w:w="110"/>
            </w:tcMar>
          </w:tcPr>
          <w:p>
            <w:pPr>
              <w:spacing w:after="0" w:line="264"/>
              <w:jc w:val="left"/>
            </w:pPr>
            <w:r>
              <w:rPr>
                <w:b w:val="false"/>
                <w:bCs w:val="false"/>
                <w:color w:val="000000"/>
                <w:sz w:val="19"/>
                <w:szCs w:val="19"/>
              </w:rPr>
              <w:t xml:space="preserve">Readiness trends, sequencing/interference flags</w:t>
            </w:r>
          </w:p>
        </w:tc>
        <w:tc>
          <w:tcPr>
            <w:tcW w:type="dxa" w:w="3160"/>
            <w:tcBorders>
              <w:top w:val="single" w:color="CCCCCC" w:sz="1"/>
              <w:left w:val="single" w:color="CCCCCC" w:sz="1"/>
              <w:bottom w:val="single" w:color="CCCCCC" w:sz="1"/>
              <w:right w:val="single" w:color="CCCCCC" w:sz="1"/>
            </w:tcBorders>
            <w:shd w:fill="EEF3F9" w:val="clear"/>
            <w:tcMar>
              <w:top w:type="dxa" w:w="70"/>
              <w:left w:type="dxa" w:w="110"/>
              <w:bottom w:type="dxa" w:w="70"/>
              <w:right w:type="dxa" w:w="110"/>
            </w:tcMar>
          </w:tcPr>
          <w:p>
            <w:pPr>
              <w:spacing w:after="0" w:line="264"/>
              <w:jc w:val="left"/>
            </w:pPr>
            <w:r>
              <w:rPr>
                <w:b w:val="false"/>
                <w:bCs w:val="false"/>
                <w:color w:val="000000"/>
                <w:sz w:val="19"/>
                <w:szCs w:val="19"/>
              </w:rPr>
              <w:t xml:space="preserve">Retention; the 'tells me something' layer</w:t>
            </w:r>
          </w:p>
        </w:tc>
      </w:tr>
    </w:tbl>
    <w:p>
      <w:pPr>
        <w:pBdr>
          <w:bottom w:val="single" w:color="2E6FB7" w:sz="6" w:space="1"/>
        </w:pBdr>
        <w:spacing w:after="160"/>
      </w:pPr>
      <w:r>
        <w:t xml:space="preserve"/>
      </w:r>
    </w:p>
    <w:p>
      <w:pPr>
        <w:pStyle w:val="Heading1"/>
      </w:pPr>
      <w:r>
        <w:t xml:space="preserve">10. Risks &amp; Open Questions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4200"/>
        <w:gridCol w:w="4560"/>
      </w:tblGrid>
      <w:tr>
        <w:trPr>
          <w:tblHeader/>
        </w:trPr>
        <w:tc>
          <w:tcPr>
            <w:tcW w:type="dxa" w:w="4200"/>
            <w:tcBorders>
              <w:top w:val="single" w:color="CCCCCC" w:sz="1"/>
              <w:left w:val="single" w:color="CCCCCC" w:sz="1"/>
              <w:bottom w:val="single" w:color="CCCCCC" w:sz="1"/>
              <w:right w:val="single" w:color="CCCCCC" w:sz="1"/>
            </w:tcBorders>
            <w:shd w:fill="1B2A4A" w:val="clear"/>
            <w:tcMar>
              <w:top w:type="dxa" w:w="70"/>
              <w:left w:type="dxa" w:w="110"/>
              <w:bottom w:type="dxa" w:w="70"/>
              <w:right w:type="dxa" w:w="110"/>
            </w:tcMar>
          </w:tcPr>
          <w:p>
            <w:pPr>
              <w:spacing w:after="0" w:line="264"/>
              <w:jc w:val="left"/>
            </w:pPr>
            <w:r>
              <w:rPr>
                <w:b/>
                <w:bCs/>
                <w:color w:val="FFFFFF"/>
                <w:sz w:val="19"/>
                <w:szCs w:val="19"/>
              </w:rPr>
              <w:t xml:space="preserve">Risk / question</w:t>
            </w:r>
          </w:p>
        </w:tc>
        <w:tc>
          <w:tcPr>
            <w:tcW w:type="dxa" w:w="4560"/>
            <w:tcBorders>
              <w:top w:val="single" w:color="CCCCCC" w:sz="1"/>
              <w:left w:val="single" w:color="CCCCCC" w:sz="1"/>
              <w:bottom w:val="single" w:color="CCCCCC" w:sz="1"/>
              <w:right w:val="single" w:color="CCCCCC" w:sz="1"/>
            </w:tcBorders>
            <w:shd w:fill="1B2A4A" w:val="clear"/>
            <w:tcMar>
              <w:top w:type="dxa" w:w="70"/>
              <w:left w:type="dxa" w:w="110"/>
              <w:bottom w:type="dxa" w:w="70"/>
              <w:right w:type="dxa" w:w="110"/>
            </w:tcMar>
          </w:tcPr>
          <w:p>
            <w:pPr>
              <w:spacing w:after="0" w:line="264"/>
              <w:jc w:val="left"/>
            </w:pPr>
            <w:r>
              <w:rPr>
                <w:b/>
                <w:bCs/>
                <w:color w:val="FFFFFF"/>
                <w:sz w:val="19"/>
                <w:szCs w:val="19"/>
              </w:rPr>
              <w:t xml:space="preserve">Mitigation / note</w:t>
            </w:r>
          </w:p>
        </w:tc>
      </w:tr>
      <w:tr>
        <w:trPr>
          <w:tblHeader w:val="false"/>
        </w:trPr>
        <w:tc>
          <w:tcPr>
            <w:tcW w:type="dxa" w:w="4200"/>
            <w:tcBorders>
              <w:top w:val="single" w:color="CCCCCC" w:sz="1"/>
              <w:left w:val="single" w:color="CCCCCC" w:sz="1"/>
              <w:bottom w:val="single" w:color="CCCCCC" w:sz="1"/>
              <w:right w:val="single" w:color="CCCCCC" w:sz="1"/>
            </w:tcBorders>
            <w:shd w:fill="EEF3F9" w:val="clear"/>
            <w:tcMar>
              <w:top w:type="dxa" w:w="70"/>
              <w:left w:type="dxa" w:w="110"/>
              <w:bottom w:type="dxa" w:w="70"/>
              <w:right w:type="dxa" w:w="110"/>
            </w:tcMar>
          </w:tcPr>
          <w:p>
            <w:pPr>
              <w:spacing w:after="0" w:line="264"/>
              <w:jc w:val="left"/>
            </w:pPr>
            <w:r>
              <w:rPr>
                <w:b w:val="false"/>
                <w:bCs w:val="false"/>
                <w:color w:val="000000"/>
                <w:sz w:val="19"/>
                <w:szCs w:val="19"/>
              </w:rPr>
              <w:t xml:space="preserve">HSS credibility — will athletes trust one number?</w:t>
            </w:r>
          </w:p>
        </w:tc>
        <w:tc>
          <w:tcPr>
            <w:tcW w:type="dxa" w:w="4560"/>
            <w:tcBorders>
              <w:top w:val="single" w:color="CCCCCC" w:sz="1"/>
              <w:left w:val="single" w:color="CCCCCC" w:sz="1"/>
              <w:bottom w:val="single" w:color="CCCCCC" w:sz="1"/>
              <w:right w:val="single" w:color="CCCCCC" w:sz="1"/>
            </w:tcBorders>
            <w:shd w:fill="EEF3F9" w:val="clear"/>
            <w:tcMar>
              <w:top w:type="dxa" w:w="70"/>
              <w:left w:type="dxa" w:w="110"/>
              <w:bottom w:type="dxa" w:w="70"/>
              <w:right w:type="dxa" w:w="110"/>
            </w:tcMar>
          </w:tcPr>
          <w:p>
            <w:pPr>
              <w:spacing w:after="0" w:line="264"/>
              <w:jc w:val="left"/>
            </w:pPr>
            <w:r>
              <w:rPr>
                <w:b w:val="false"/>
                <w:bCs w:val="false"/>
                <w:color w:val="000000"/>
                <w:sz w:val="19"/>
                <w:szCs w:val="19"/>
              </w:rPr>
              <w:t xml:space="preserve">Show the components; calibrate vs subjective readiness; let power users tune. Transparency beats a black box.</w:t>
            </w:r>
          </w:p>
        </w:tc>
      </w:tr>
      <w:tr>
        <w:trPr>
          <w:tblHeader w:val="false"/>
        </w:trPr>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64"/>
              <w:jc w:val="left"/>
            </w:pPr>
            <w:r>
              <w:rPr>
                <w:b w:val="false"/>
                <w:bCs w:val="false"/>
                <w:color w:val="000000"/>
                <w:sz w:val="19"/>
                <w:szCs w:val="19"/>
              </w:rPr>
              <w:t xml:space="preserve">Food database cost/coverage</w:t>
            </w:r>
          </w:p>
        </w:tc>
        <w:tc>
          <w:tcPr>
            <w:tcW w:type="dxa" w:w="4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64"/>
              <w:jc w:val="left"/>
            </w:pPr>
            <w:r>
              <w:rPr>
                <w:b w:val="false"/>
                <w:bCs w:val="false"/>
                <w:color w:val="000000"/>
                <w:sz w:val="19"/>
                <w:szCs w:val="19"/>
              </w:rPr>
              <w:t xml:space="preserve">Start with an open/licensed DB (OFF + a commercial fallback); fast quick-add reduces dependence on coverage.</w:t>
            </w:r>
          </w:p>
        </w:tc>
      </w:tr>
      <w:tr>
        <w:trPr>
          <w:tblHeader w:val="false"/>
        </w:trPr>
        <w:tc>
          <w:tcPr>
            <w:tcW w:type="dxa" w:w="4200"/>
            <w:tcBorders>
              <w:top w:val="single" w:color="CCCCCC" w:sz="1"/>
              <w:left w:val="single" w:color="CCCCCC" w:sz="1"/>
              <w:bottom w:val="single" w:color="CCCCCC" w:sz="1"/>
              <w:right w:val="single" w:color="CCCCCC" w:sz="1"/>
            </w:tcBorders>
            <w:shd w:fill="EEF3F9" w:val="clear"/>
            <w:tcMar>
              <w:top w:type="dxa" w:w="70"/>
              <w:left w:type="dxa" w:w="110"/>
              <w:bottom w:type="dxa" w:w="70"/>
              <w:right w:type="dxa" w:w="110"/>
            </w:tcMar>
          </w:tcPr>
          <w:p>
            <w:pPr>
              <w:spacing w:after="0" w:line="264"/>
              <w:jc w:val="left"/>
            </w:pPr>
            <w:r>
              <w:rPr>
                <w:b w:val="false"/>
                <w:bCs w:val="false"/>
                <w:color w:val="000000"/>
                <w:sz w:val="19"/>
                <w:szCs w:val="19"/>
              </w:rPr>
              <w:t xml:space="preserve">Garmin/Apple integration friction</w:t>
            </w:r>
          </w:p>
        </w:tc>
        <w:tc>
          <w:tcPr>
            <w:tcW w:type="dxa" w:w="4560"/>
            <w:tcBorders>
              <w:top w:val="single" w:color="CCCCCC" w:sz="1"/>
              <w:left w:val="single" w:color="CCCCCC" w:sz="1"/>
              <w:bottom w:val="single" w:color="CCCCCC" w:sz="1"/>
              <w:right w:val="single" w:color="CCCCCC" w:sz="1"/>
            </w:tcBorders>
            <w:shd w:fill="EEF3F9" w:val="clear"/>
            <w:tcMar>
              <w:top w:type="dxa" w:w="70"/>
              <w:left w:type="dxa" w:w="110"/>
              <w:bottom w:type="dxa" w:w="70"/>
              <w:right w:type="dxa" w:w="110"/>
            </w:tcMar>
          </w:tcPr>
          <w:p>
            <w:pPr>
              <w:spacing w:after="0" w:line="264"/>
              <w:jc w:val="left"/>
            </w:pPr>
            <w:r>
              <w:rPr>
                <w:b w:val="false"/>
                <w:bCs w:val="false"/>
                <w:color w:val="000000"/>
                <w:sz w:val="19"/>
                <w:szCs w:val="19"/>
              </w:rPr>
              <w:t xml:space="preserve">Apple HealthKit is straightforward; Garmin requires program access — start HealthKit-first, add Garmin as fast-follow.</w:t>
            </w:r>
          </w:p>
        </w:tc>
      </w:tr>
      <w:tr>
        <w:trPr>
          <w:tblHeader w:val="false"/>
        </w:trPr>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64"/>
              <w:jc w:val="left"/>
            </w:pPr>
            <w:r>
              <w:rPr>
                <w:b w:val="false"/>
                <w:bCs w:val="false"/>
                <w:color w:val="000000"/>
                <w:sz w:val="19"/>
                <w:szCs w:val="19"/>
              </w:rPr>
              <w:t xml:space="preserve">Logging friction vs Strong/Hevy</w:t>
            </w:r>
          </w:p>
        </w:tc>
        <w:tc>
          <w:tcPr>
            <w:tcW w:type="dxa" w:w="4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64"/>
              <w:jc w:val="left"/>
            </w:pPr>
            <w:r>
              <w:rPr>
                <w:b w:val="false"/>
                <w:bCs w:val="false"/>
                <w:color w:val="000000"/>
                <w:sz w:val="19"/>
                <w:szCs w:val="19"/>
              </w:rPr>
              <w:t xml:space="preserve">You must match their speed to win the habit. Invest in entry UX early; this is existential, not polish.</w:t>
            </w:r>
          </w:p>
        </w:tc>
      </w:tr>
      <w:tr>
        <w:trPr>
          <w:tblHeader w:val="false"/>
        </w:trPr>
        <w:tc>
          <w:tcPr>
            <w:tcW w:type="dxa" w:w="4200"/>
            <w:tcBorders>
              <w:top w:val="single" w:color="CCCCCC" w:sz="1"/>
              <w:left w:val="single" w:color="CCCCCC" w:sz="1"/>
              <w:bottom w:val="single" w:color="CCCCCC" w:sz="1"/>
              <w:right w:val="single" w:color="CCCCCC" w:sz="1"/>
            </w:tcBorders>
            <w:shd w:fill="EEF3F9" w:val="clear"/>
            <w:tcMar>
              <w:top w:type="dxa" w:w="70"/>
              <w:left w:type="dxa" w:w="110"/>
              <w:bottom w:type="dxa" w:w="70"/>
              <w:right w:type="dxa" w:w="110"/>
            </w:tcMar>
          </w:tcPr>
          <w:p>
            <w:pPr>
              <w:spacing w:after="0" w:line="264"/>
              <w:jc w:val="left"/>
            </w:pPr>
            <w:r>
              <w:rPr>
                <w:b w:val="false"/>
                <w:bCs w:val="false"/>
                <w:color w:val="000000"/>
                <w:sz w:val="19"/>
                <w:szCs w:val="19"/>
              </w:rPr>
              <w:t xml:space="preserve">trainhybrid.app shipping a tracker</w:t>
            </w:r>
          </w:p>
        </w:tc>
        <w:tc>
          <w:tcPr>
            <w:tcW w:type="dxa" w:w="4560"/>
            <w:tcBorders>
              <w:top w:val="single" w:color="CCCCCC" w:sz="1"/>
              <w:left w:val="single" w:color="CCCCCC" w:sz="1"/>
              <w:bottom w:val="single" w:color="CCCCCC" w:sz="1"/>
              <w:right w:val="single" w:color="CCCCCC" w:sz="1"/>
            </w:tcBorders>
            <w:shd w:fill="EEF3F9" w:val="clear"/>
            <w:tcMar>
              <w:top w:type="dxa" w:w="70"/>
              <w:left w:type="dxa" w:w="110"/>
              <w:bottom w:type="dxa" w:w="70"/>
              <w:right w:type="dxa" w:w="110"/>
            </w:tcMar>
          </w:tcPr>
          <w:p>
            <w:pPr>
              <w:spacing w:after="0" w:line="264"/>
              <w:jc w:val="left"/>
            </w:pPr>
            <w:r>
              <w:rPr>
                <w:b w:val="false"/>
                <w:bCs w:val="false"/>
                <w:color w:val="000000"/>
                <w:sz w:val="19"/>
                <w:szCs w:val="19"/>
              </w:rPr>
              <w:t xml:space="preserve">They're coach-first/waitlisted. Move fast on the logging+fueling combo they don't center.</w:t>
            </w:r>
          </w:p>
        </w:tc>
      </w:tr>
      <w:tr>
        <w:trPr>
          <w:tblHeader w:val="false"/>
        </w:trPr>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64"/>
              <w:jc w:val="left"/>
            </w:pPr>
            <w:r>
              <w:rPr>
                <w:b w:val="false"/>
                <w:bCs w:val="false"/>
                <w:color w:val="000000"/>
                <w:sz w:val="19"/>
                <w:szCs w:val="19"/>
              </w:rPr>
              <w:t xml:space="preserve">Engine accuracy without big data</w:t>
            </w:r>
          </w:p>
        </w:tc>
        <w:tc>
          <w:tcPr>
            <w:tcW w:type="dxa" w:w="4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spacing w:after="0" w:line="264"/>
              <w:jc w:val="left"/>
            </w:pPr>
            <w:r>
              <w:rPr>
                <w:b w:val="false"/>
                <w:bCs w:val="false"/>
                <w:color w:val="000000"/>
                <w:sz w:val="19"/>
                <w:szCs w:val="19"/>
              </w:rPr>
              <w:t xml:space="preserve">Ship literature defaults; instrument everything; re-fit constants as data lands. Don't over-promise precision at launch.</w:t>
            </w:r>
          </w:p>
        </w:tc>
      </w:tr>
    </w:tbl>
    <w:p>
      <w:pPr>
        <w:spacing w:after="80"/>
      </w:pPr>
      <w:r>
        <w:t xml:space="preserve"/>
      </w:r>
    </w:p>
    <w:p>
      <w:pPr>
        <w:spacing w:after="120" w:line="276"/>
      </w:pPr>
      <w:r>
        <w:rPr>
          <w:b/>
          <w:bCs/>
        </w:rPr>
        <w:t xml:space="preserve">Immediate next decisions:</w:t>
      </w:r>
      <w:r>
        <w:t xml:space="preserve"> (1) lock the working name + HYROX-vs-tactical launch emphasis; (2) green-light Phase 0 — the engine package — since it de-risks the whole thesis before a line of UI; (3) choose API runtime (.NET for speed-to-build vs tRPC for type unity). I'd recommend building the engine first and validating HSS against your own training data before anything else.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jc w:val="center"/>
    </w:pPr>
    <w:r>
      <w:rPr>
        <w:color w:val="999999"/>
        <w:sz w:val="16"/>
        <w:szCs w:val="16"/>
      </w:rPr>
      <w:t xml:space="preserve">UnderCloud · Confidential draft · </w:t>
    </w:r>
    <w:r>
      <w:rPr>
        <w:color w:val="999999"/>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color w:val="999999"/>
        <w:sz w:val="16"/>
        <w:szCs w:val="16"/>
      </w:rPr>
      <w:t xml:space="preserve">Hybrid Athlete App — PRD &amp;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04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8521E" w:sz="4" w:space="4"/>
      </w:pBdr>
      <w:spacing w:after="160" w:before="300"/>
      <w:outlineLvl w:val="0"/>
    </w:pPr>
    <w:rPr>
      <w:rFonts w:ascii="Arial" w:cs="Arial" w:eastAsia="Arial" w:hAnsi="Arial"/>
      <w:b/>
      <w:bCs/>
      <w:color w:val="1B2A4A"/>
      <w:sz w:val="34"/>
      <w:szCs w:val="34"/>
    </w:rPr>
  </w:style>
  <w:style w:type="paragraph" w:styleId="Heading2">
    <w:name w:val="Heading 2"/>
    <w:basedOn w:val="Normal"/>
    <w:next w:val="Normal"/>
    <w:qFormat/>
    <w:pPr>
      <w:spacing w:after="100" w:before="220"/>
      <w:outlineLvl w:val="1"/>
    </w:pPr>
    <w:rPr>
      <w:rFonts w:ascii="Arial" w:cs="Arial" w:eastAsia="Arial" w:hAnsi="Arial"/>
      <w:b/>
      <w:bCs/>
      <w:color w:val="2E6FB7"/>
      <w:sz w:val="26"/>
      <w:szCs w:val="26"/>
    </w:rPr>
  </w:style>
  <w:style w:type="paragraph" w:styleId="Heading3">
    <w:name w:val="Heading 3"/>
    <w:basedOn w:val="Normal"/>
    <w:next w:val="Normal"/>
    <w:qFormat/>
    <w:pPr>
      <w:spacing w:after="80" w:before="160"/>
      <w:outlineLvl w:val="2"/>
    </w:pPr>
    <w:rPr>
      <w:rFonts w:ascii="Arial" w:cs="Arial" w:eastAsia="Arial" w:hAnsi="Arial"/>
      <w:b/>
      <w:bCs/>
      <w:color w:val="1B2A4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Hybrid Athlete App — PRD &amp; Architecture</dc:title>
  <dc:creator>UnderCloud</dc:creator>
  <cp:lastModifiedBy>Un-named</cp:lastModifiedBy>
  <cp:revision>1</cp:revision>
  <dcterms:created xsi:type="dcterms:W3CDTF">2026-06-29T19:59:59.704Z</dcterms:created>
  <dcterms:modified xsi:type="dcterms:W3CDTF">2026-06-29T19:59:59.704Z</dcterms:modified>
</cp:coreProperties>
</file>

<file path=docProps/custom.xml><?xml version="1.0" encoding="utf-8"?>
<Properties xmlns="http://schemas.openxmlformats.org/officeDocument/2006/custom-properties" xmlns:vt="http://schemas.openxmlformats.org/officeDocument/2006/docPropsVTypes"/>
</file>