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一叶办公文档视觉样张</w:t>
      </w:r>
    </w:p>
    <w:p>
      <w:r>
        <w:t>这是一份用 python-docx 写出的真实 .docx，用来检查 LeafMark 能否显示图片、</w:t>
      </w:r>
      <w:hyperlink r:id="rId9">
        <w:r>
          <w:rPr>
            <w:color w:val="0563C1"/>
            <w:u w:val="single"/>
          </w:rPr>
          <w:t xml:space="preserve">打开官网链接</w:t>
        </w:r>
      </w:hyperlink>
      <w:r>
        <w:t>、合并表格，以及右侧环绕的浮动图。正文应保持可读，不能变成标签源代码。</w:t>
      </w:r>
    </w:p>
    <w:p>
      <w:r>
        <w:drawing>
          <wp:anchor behindDoc="0" distT="0" distB="0" distL="114300" distR="114300" simplePos="0" relativeHeight="25165824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52000" cy="1152000"/>
            <wp:effectExtent l="0" t="0" r="0" b="0"/>
            <wp:wrapSquare wrapText="bothSides"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anchor>
        </w:drawing>
      </w:r>
      <w:r>
        <w:t>右侧这张蓝色图标是浮动图（wp:anchor + wrapSquare）。文字应绕开它，而不是把它挤到下一页或显示成破图。如果编辑器只能处理 wp:inline，这里会看不见图或把图叠在字上。</w:t>
      </w:r>
    </w:p>
    <w:p>
      <w:pPr>
        <w:pStyle w:val="Heading2"/>
      </w:pPr>
      <w:r>
        <w:t>产品要点</w:t>
      </w:r>
    </w:p>
    <w:p>
      <w:pPr>
        <w:pStyle w:val="ListBullet"/>
      </w:pPr>
      <w:r>
        <w:t>本地打开 OOXML，不上传</w:t>
      </w:r>
    </w:p>
    <w:p>
      <w:pPr>
        <w:pStyle w:val="ListBullet"/>
      </w:pPr>
      <w:r>
        <w:t>未改动的 XML 原样写回 Word / WPS</w:t>
      </w:r>
    </w:p>
    <w:p>
      <w:pPr>
        <w:pStyle w:val="ListBullet"/>
      </w:pPr>
      <w:r>
        <w:t>首屏只渲染可见内容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269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69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6368"/>
          <w:sz w:val="20"/>
        </w:rPr>
        <w:t>图：内嵌插图（wp:inline），应完整显示山形色块与「插图」二字。</w:t>
      </w:r>
    </w:p>
    <w:p>
      <w:pPr>
        <w:pStyle w:val="Heading2"/>
      </w:pPr>
      <w:r>
        <w:t>合并单元格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模块</w:t>
            </w:r>
          </w:p>
        </w:tc>
        <w:tc>
          <w:tcPr>
            <w:tcW w:type="dxa" w:w="6274"/>
            <w:gridSpan w:val="2"/>
          </w:tcPr>
          <w:p>
            <w:r>
              <w:t>说明（跨两列）</w:t>
            </w:r>
          </w:p>
        </w:tc>
      </w:tr>
      <w:tr>
        <w:tc>
          <w:tcPr>
            <w:tcW w:type="dxa" w:w="3137"/>
            <w:vMerge w:val="restart"/>
          </w:tcPr>
          <w:p>
            <w:r>
              <w:t>编辑器</w:t>
              <w:br/>
              <w:t>（跨两行）</w:t>
            </w:r>
          </w:p>
        </w:tc>
        <w:tc>
          <w:tcPr>
            <w:tcW w:type="dxa" w:w="3137"/>
          </w:tcPr>
          <w:p>
            <w:r>
              <w:t>Word</w:t>
            </w:r>
          </w:p>
        </w:tc>
        <w:tc>
          <w:tcPr>
            <w:tcW w:type="dxa" w:w="3137"/>
          </w:tcPr>
          <w:p>
            <w:r>
              <w:t>图片 / 超链接 / 表格</w:t>
            </w:r>
          </w:p>
        </w:tc>
      </w:tr>
      <w:tr>
        <w:tc>
          <w:tcPr>
            <w:tcW w:type="dxa" w:w="3137"/>
            <w:vMerge/>
          </w:tcPr>
          <w:p/>
        </w:tc>
        <w:tc>
          <w:tcPr>
            <w:tcW w:type="dxa" w:w="3137"/>
          </w:tcPr>
          <w:p>
            <w:r>
              <w:t>PPT</w:t>
            </w:r>
          </w:p>
        </w:tc>
        <w:tc>
          <w:tcPr>
            <w:tcW w:type="dxa" w:w="3137"/>
          </w:tcPr>
          <w:p>
            <w:r>
              <w:t>背景图 / 表格 / 版式</w:t>
            </w:r>
          </w:p>
        </w:tc>
      </w:tr>
    </w:tbl>
    <w:p>
      <w:r>
        <w:rPr>
          <w:i/>
        </w:rPr>
        <w:t>页眉页脚也会写进文件，用于确认页眉带是否出现。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只读检查用，不执行宏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LeafMark 视觉样张 · Word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thanBird/leafmark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