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B7F"/>
          <w:sz w:val="17"/>
        </w:rPr>
        <w:t>PRIVILEGED &amp; CONFIDENTIAL — ATTORNEY WORK PRODUCT</w:t>
      </w:r>
    </w:p>
    <w:p>
      <w:pPr>
        <w:jc w:val="center"/>
      </w:pPr>
      <w:r>
        <w:rPr>
          <w:b/>
          <w:color w:val="1F3A5F"/>
          <w:sz w:val="36"/>
        </w:rPr>
        <w:t>North Forsyth §1031 Exchange — Recommended Structure</w:t>
      </w:r>
    </w:p>
    <w:p>
      <w:pPr>
        <w:jc w:val="center"/>
      </w:pPr>
      <w:r>
        <w:rPr>
          <w:i/>
          <w:color w:val="5B6B7F"/>
          <w:sz w:val="21"/>
        </w:rPr>
        <w:t>Structure A: “Exchange First, Then Combine” (with Structure B as the stronger fallback)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Recommendation:</w:t>
            </w:r>
          </w:p>
        </w:tc>
        <w:tc>
          <w:tcPr>
            <w:tcW w:type="dxa" w:w="4320"/>
          </w:tcPr>
          <w:p>
            <w:r>
              <w:t>Exchange Belara into 100% fee title, then form the promoted Hanover JV after genuine seasoning via §721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Confidence:</w:t>
            </w:r>
          </w:p>
        </w:tc>
        <w:tc>
          <w:tcPr>
            <w:tcW w:type="dxa" w:w="4320"/>
          </w:tcPr>
          <w:p>
            <w:r>
              <w:t>More-likely-than-not, improving toward “should” with seasoning (conditional, not “clean”)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Draft for counsel/CPA review — revised June 14, 2026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b w:val="0"/>
          <w:i w:val="0"/>
        </w:rPr>
        <w:t>The Hanover term sheet would give Kao a 95% interest in a vehicle that also carries Hanover's promote. A promote is a profit share, which turns the vehicle into a partnership — and a partnership interest is not like-kind real property, so the exchange would fail. The recommended fix separates the two ideas in time. In Phase 1, Kao exchanges Belara into 100% fee title in North Forsyth through a qualified intermediary and a build-to-suit EAT. In Phase 2, after the exchange has genuinely seasoned, Kao contributes the property to a promoted joint venture with Hanover under §721 (tax-free). The parties keep the full term-sheet economics; the exchange remains defensible. This is a conditional, more-likely-than-not position whose strength rises with seasoning — not a “clean” or automatic result.</w:t>
      </w:r>
    </w:p>
    <w:p>
      <w:pPr>
        <w:pStyle w:val="Heading1"/>
      </w:pPr>
      <w:r>
        <w:t>2. The two phases</w:t>
      </w:r>
    </w:p>
    <w:p>
      <w:r>
        <w:rPr>
          <w:b/>
        </w:rPr>
        <w:t xml:space="preserve">Phase 1 — the exchange (Days 0–180). </w:t>
      </w:r>
      <w:r>
        <w:rPr>
          <w:b w:val="0"/>
        </w:rPr>
        <w:t>Belara proceeds park with the QI. The EAT takes title to North Forsyth, borrows the construction loan, and builds. By Day 180 the EAT deeds 100% fee title to Kao's disregarded single-member LLC. The exchange completes against direct real estate, so there is no partnership to recharacterize on the entity-classification axis.</w:t>
      </w:r>
    </w:p>
    <w:p>
      <w:r>
        <w:rPr>
          <w:b/>
        </w:rPr>
        <w:t xml:space="preserve">Phase 2 — the JV (after genuine seasoning). </w:t>
      </w:r>
      <w:r>
        <w:rPr>
          <w:b w:val="0"/>
        </w:rPr>
        <w:t>Kao contributes the property to a new operating partnership under §721; Hanover converts its Phase-1 loan into a 5% interest and takes the promote. The JV carries the full term sheet: 95/5, the 20/30/40 promote over 10/14/18, the 4% and 4.5% fees, and the guaranties.</w:t>
      </w:r>
    </w:p>
    <w:p>
      <w:pPr>
        <w:pStyle w:val="Heading1"/>
      </w:pPr>
      <w:r>
        <w:t>3. Why this survives where the term sheet fails</w:t>
      </w:r>
    </w:p>
    <w:p>
      <w:pPr>
        <w:pStyle w:val="ListBullet"/>
      </w:pPr>
      <w:r>
        <w:rPr>
          <w:b/>
        </w:rPr>
        <w:t xml:space="preserve">100% real property in Phase 1. </w:t>
      </w:r>
      <w:r>
        <w:rPr>
          <w:b w:val="0"/>
        </w:rPr>
        <w:t>A single owner cannot be a partnership; Rev. Proc. 2002-22 never comes into play. A partnership interest is not real property under §1031(a)(1) and Reg. §1.1031(a)-3 — so Kao takes real property, not an interest in a recharacterizable co-ownership.</w:t>
      </w:r>
    </w:p>
    <w:p>
      <w:pPr>
        <w:pStyle w:val="ListBullet"/>
      </w:pPr>
      <w:r>
        <w:rPr>
          <w:b/>
        </w:rPr>
        <w:t xml:space="preserve">Promote lives in the Phase-2 partnership. </w:t>
      </w:r>
      <w:r>
        <w:rPr>
          <w:b w:val="0"/>
        </w:rPr>
        <w:t>A promote is perfectly legal inside a partnership and keeps capital-gain character as a profits interest (§1061 then requires a &gt;3-year hold for long-term rates).</w:t>
      </w:r>
    </w:p>
    <w:p>
      <w:pPr>
        <w:pStyle w:val="ListBullet"/>
      </w:pPr>
      <w:r>
        <w:rPr>
          <w:b/>
        </w:rPr>
        <w:t xml:space="preserve">The residual risk is step-transaction, and it is managed, not ignored. </w:t>
      </w:r>
      <w:r>
        <w:rPr>
          <w:b w:val="0"/>
        </w:rPr>
        <w:t>See seasoning and neutrality, below.</w:t>
      </w:r>
    </w:p>
    <w:p>
      <w:pPr>
        <w:pStyle w:val="Heading1"/>
      </w:pPr>
      <w:r>
        <w:t>4. The build-to-suit math (the hard constraint)</w:t>
      </w:r>
    </w:p>
    <w:p>
      <w:r>
        <w:rPr>
          <w:b w:val="0"/>
          <w:i w:val="0"/>
        </w:rPr>
        <w:t>To defer the full ~$20M, Kao must reinvest ~$20M in completed real property by Day 180: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Counts?</w:t>
            </w:r>
          </w:p>
        </w:tc>
      </w:tr>
      <w:tr>
        <w:tc>
          <w:tcPr>
            <w:tcW w:type="dxa" w:w="2880"/>
          </w:tcPr>
          <w:p>
            <w:r>
              <w:t>Land (acquired by the EAT)</w:t>
            </w:r>
          </w:p>
        </w:tc>
        <w:tc>
          <w:tcPr>
            <w:tcW w:type="dxa" w:w="2880"/>
          </w:tcPr>
          <w:p>
            <w:r>
              <w:t>$6.5M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Completed improvements physically in place by Day 180</w:t>
            </w:r>
          </w:p>
        </w:tc>
        <w:tc>
          <w:tcPr>
            <w:tcW w:type="dxa" w:w="2880"/>
          </w:tcPr>
          <w:p>
            <w:r>
              <w:t>~$13.5M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Stored materials, deposits, prepaids, off-site fabrication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Work performed after the EAT→Kao transfer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Day-180 reinvestment target</w:t>
            </w:r>
          </w:p>
        </w:tc>
        <w:tc>
          <w:tcPr>
            <w:tcW w:type="dxa" w:w="2880"/>
          </w:tcPr>
          <w:p>
            <w:r>
              <w:t>~$20.0M</w:t>
            </w:r>
          </w:p>
        </w:tc>
        <w:tc>
          <w:tcPr>
            <w:tcW w:type="dxa" w:w="2880"/>
          </w:tcPr>
          <w:p>
            <w:r>
              <w:t>Must be in place</w:t>
            </w:r>
          </w:p>
        </w:tc>
      </w:tr>
    </w:tbl>
    <w:p/>
    <w:p>
      <w:r>
        <w:rPr>
          <w:b w:val="0"/>
          <w:i w:val="0"/>
        </w:rPr>
        <w:t>Any shortfall is boot, taxed in 2026. Extend the 2026 return; commission a Day-180 in-place valuation; and identify a specific, named, 1031-eligible backup DST within 45 days that can close within 180 days. Kao's ~$20M funds land plus the first ~$13.5M of improvements; the remaining ~$30M of the project is funded only by the construction loan and Hanover's loan — both debt with guaranties, never Hanover equity.</w:t>
      </w:r>
    </w:p>
    <w:p>
      <w:pPr>
        <w:pStyle w:val="Heading1"/>
      </w:pPr>
      <w:r>
        <w:t>5. Seasoning — the clock that makes or breaks Structure A</w:t>
      </w:r>
    </w:p>
    <w:p>
      <w:r>
        <w:rPr>
          <w:b w:val="0"/>
          <w:i w:val="0"/>
        </w:rPr>
        <w:t>The seasoning clock runs from the EAT→Kao deed date, not Day 0; the 180-day parking period is part of the exchange, not seasoning. There is no statutory safe-harbor period — longer and more genuine is safer.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Absolute floor</w:t>
            </w:r>
          </w:p>
        </w:tc>
        <w:tc>
          <w:tcPr>
            <w:tcW w:type="dxa" w:w="2880"/>
          </w:tcPr>
          <w:p>
            <w:r>
              <w:t>Later of 12 months after the deed and substantial completion</w:t>
            </w:r>
          </w:p>
        </w:tc>
        <w:tc>
          <w:tcPr>
            <w:tcW w:type="dxa" w:w="2880"/>
          </w:tcPr>
          <w:p>
            <w:r>
              <w:t>A full tax year of genuine ownership; nothing contributed mid-construction</w:t>
            </w:r>
          </w:p>
        </w:tc>
      </w:tr>
      <w:tr>
        <w:tc>
          <w:tcPr>
            <w:tcW w:type="dxa" w:w="2880"/>
          </w:tcPr>
          <w:p>
            <w:r>
              <w:t>Path to “should”</w:t>
            </w:r>
          </w:p>
        </w:tc>
        <w:tc>
          <w:tcPr>
            <w:tcW w:type="dxa" w:w="2880"/>
          </w:tcPr>
          <w:p>
            <w:r>
              <w:t>~24 months after the deed, plus lease-up and/or a refinance</w:t>
            </w:r>
          </w:p>
        </w:tc>
        <w:tc>
          <w:tcPr>
            <w:tcW w:type="dxa" w:w="2880"/>
          </w:tcPr>
          <w:p>
            <w:r>
              <w:t>Kao demonstrably held and operated as a real owner before combining</w:t>
            </w:r>
          </w:p>
        </w:tc>
      </w:tr>
      <w:tr>
        <w:tc>
          <w:tcPr>
            <w:tcW w:type="dxa" w:w="2880"/>
          </w:tcPr>
          <w:p>
            <w:r>
              <w:t>Hard don'ts</w:t>
            </w:r>
          </w:p>
        </w:tc>
        <w:tc>
          <w:tcPr>
            <w:tcW w:type="dxa" w:w="2880"/>
          </w:tcPr>
          <w:p>
            <w:r>
              <w:t>No same-closing mechanics; no contribution while incomplete; no pre-signed plan</w:t>
            </w:r>
          </w:p>
        </w:tc>
        <w:tc>
          <w:tcPr>
            <w:tcW w:type="dxa" w:w="2880"/>
          </w:tcPr>
          <w:p>
            <w:r>
              <w:t>Each is a step-transaction red flag</w:t>
            </w:r>
          </w:p>
        </w:tc>
      </w:tr>
    </w:tbl>
    <w:p/>
    <w:p>
      <w:r>
        <w:rPr>
          <w:b/>
          <w:i w:val="0"/>
        </w:rPr>
        <w:t>During the gap, Kao must operate as the genuine 100% owner:</w:t>
      </w:r>
    </w:p>
    <w:p>
      <w:pPr>
        <w:pStyle w:val="ListBullet"/>
      </w:pPr>
      <w:r>
        <w:t>Named on title, the loan, leases, and insurance; bearing the economic benefits and burdens; funding shortfalls with debt, not Hanover equity.</w:t>
      </w:r>
    </w:p>
    <w:p>
      <w:pPr>
        <w:pStyle w:val="ListBullet"/>
      </w:pPr>
      <w:r>
        <w:t>No binding obligation to contribute — a non-binding LOI only, with no fixed-price equity option for Hanover.</w:t>
      </w:r>
    </w:p>
    <w:p>
      <w:pPr>
        <w:pStyle w:val="ListBullet"/>
      </w:pPr>
      <w:r>
        <w:t>A contemporaneously documented independent business purpose for combining later (completion/lease-up de-risking, refinancing, bringing in the operating partner once stabilized).</w:t>
      </w:r>
    </w:p>
    <w:p>
      <w:pPr>
        <w:pStyle w:val="Heading1"/>
      </w:pPr>
      <w:r>
        <w:t>6. Neutrality &amp; Hanover protection (Phase 1 stands on its own)</w:t>
      </w:r>
    </w:p>
    <w:p>
      <w:r>
        <w:rPr>
          <w:b w:val="0"/>
          <w:i w:val="0"/>
        </w:rPr>
        <w:t>Hanover is protected as a contractor and creditor through standalone, arm's-length contracts — not by an unenforceable promise of future equity. All five elements go together:</w:t>
      </w:r>
    </w:p>
    <w:p>
      <w:pPr>
        <w:pStyle w:val="ListNumber"/>
      </w:pPr>
      <w:r>
        <w:rPr>
          <w:b/>
        </w:rPr>
        <w:t xml:space="preserve">Standalone market Phase-1 contracts </w:t>
      </w:r>
      <w:r>
        <w:rPr>
          <w:b w:val="0"/>
        </w:rPr>
        <w:t>— a development management agreement at a market 4% fee and a GMP/GC contract at a market 4.5%, each with normal reimbursement, lien rights, and default remedies.</w:t>
      </w:r>
    </w:p>
    <w:p>
      <w:pPr>
        <w:pStyle w:val="ListNumber"/>
      </w:pPr>
      <w:r>
        <w:rPr>
          <w:b/>
        </w:rPr>
        <w:t xml:space="preserve">Hanover's 5% as a true secured LOAN bearing interest </w:t>
      </w:r>
      <w:r>
        <w:rPr>
          <w:b w:val="0"/>
        </w:rPr>
        <w:t>— ~$1.1M funded as debt (note + collateral, market rate, stated maturity), not a “preferred return.” It converts to a 5% interest via §721 only in Phase 2.</w:t>
      </w:r>
    </w:p>
    <w:p>
      <w:pPr>
        <w:pStyle w:val="ListNumber"/>
      </w:pPr>
      <w:r>
        <w:rPr>
          <w:b/>
        </w:rPr>
        <w:t xml:space="preserve">Kao guaranty-indemnity backed by collateral/LC </w:t>
      </w:r>
      <w:r>
        <w:rPr>
          <w:b w:val="0"/>
        </w:rPr>
        <w:t>— a real, fundable obligation covering Hanover's Phase-1 exposure.</w:t>
      </w:r>
    </w:p>
    <w:p>
      <w:pPr>
        <w:pStyle w:val="ListNumber"/>
      </w:pPr>
      <w:r>
        <w:rPr>
          <w:b/>
        </w:rPr>
        <w:t xml:space="preserve">Fixed or cost-based termination fee if Kao walks </w:t>
      </w:r>
      <w:r>
        <w:rPr>
          <w:b w:val="0"/>
        </w:rPr>
        <w:t>— documented costs, fees earned, and a reasonable margin; it must not mirror the promote/IRR waterfall.</w:t>
      </w:r>
    </w:p>
    <w:p>
      <w:pPr>
        <w:pStyle w:val="ListNumber"/>
      </w:pPr>
      <w:r>
        <w:rPr>
          <w:b/>
        </w:rPr>
        <w:t xml:space="preserve">LOI expressly non-binding; no fixed-price equity option </w:t>
      </w:r>
      <w:r>
        <w:rPr>
          <w:b w:val="0"/>
        </w:rPr>
        <w:t>— protection comes from the commercial contracts and the secured loan, not a pre-signed partnership.</w:t>
      </w:r>
    </w:p>
    <w:p>
      <w:pPr>
        <w:pStyle w:val="Heading1"/>
      </w:pPr>
      <w:r>
        <w:t>7. Economics (unchanged from the term sheet)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</w:tr>
      <w:tr>
        <w:tc>
          <w:tcPr>
            <w:tcW w:type="dxa" w:w="4320"/>
          </w:tcPr>
          <w:p>
            <w:r>
              <w:t>Ownership</w:t>
            </w:r>
          </w:p>
        </w:tc>
        <w:tc>
          <w:tcPr>
            <w:tcW w:type="dxa" w:w="4320"/>
          </w:tcPr>
          <w:p>
            <w:r>
              <w:t>Kao 95% / Hanover 5% (after Phase 2)</w:t>
            </w:r>
          </w:p>
        </w:tc>
      </w:tr>
      <w:tr>
        <w:tc>
          <w:tcPr>
            <w:tcW w:type="dxa" w:w="4320"/>
          </w:tcPr>
          <w:p>
            <w:r>
              <w:t>Promote</w:t>
            </w:r>
          </w:p>
        </w:tc>
        <w:tc>
          <w:tcPr>
            <w:tcW w:type="dxa" w:w="4320"/>
          </w:tcPr>
          <w:p>
            <w:r>
              <w:t>20% / 30% / 40% over 10% / 14% / 18% IRR (carried interest)</w:t>
            </w:r>
          </w:p>
        </w:tc>
      </w:tr>
      <w:tr>
        <w:tc>
          <w:tcPr>
            <w:tcW w:type="dxa" w:w="4320"/>
          </w:tcPr>
          <w:p>
            <w:r>
              <w:t>Development fee</w:t>
            </w:r>
          </w:p>
        </w:tc>
        <w:tc>
          <w:tcPr>
            <w:tcW w:type="dxa" w:w="4320"/>
          </w:tcPr>
          <w:p>
            <w:r>
              <w:t>4% (standalone DMA)</w:t>
            </w:r>
          </w:p>
        </w:tc>
      </w:tr>
      <w:tr>
        <w:tc>
          <w:tcPr>
            <w:tcW w:type="dxa" w:w="4320"/>
          </w:tcPr>
          <w:p>
            <w:r>
              <w:t>GC fee</w:t>
            </w:r>
          </w:p>
        </w:tc>
        <w:tc>
          <w:tcPr>
            <w:tcW w:type="dxa" w:w="4320"/>
          </w:tcPr>
          <w:p>
            <w:r>
              <w:t>4.5% of hard costs (GMP)</w:t>
            </w:r>
          </w:p>
        </w:tc>
      </w:tr>
      <w:tr>
        <w:tc>
          <w:tcPr>
            <w:tcW w:type="dxa" w:w="4320"/>
          </w:tcPr>
          <w:p>
            <w:r>
              <w:t>Guaranties</w:t>
            </w:r>
          </w:p>
        </w:tc>
        <w:tc>
          <w:tcPr>
            <w:tcW w:type="dxa" w:w="4320"/>
          </w:tcPr>
          <w:p>
            <w:r>
              <w:t>Hanover provides completion/carry/overrun/carve-out</w:t>
            </w:r>
          </w:p>
        </w:tc>
      </w:tr>
      <w:tr>
        <w:tc>
          <w:tcPr>
            <w:tcW w:type="dxa" w:w="4320"/>
          </w:tcPr>
          <w:p>
            <w:r>
              <w:t>Hanover promote tax character</w:t>
            </w:r>
          </w:p>
        </w:tc>
        <w:tc>
          <w:tcPr>
            <w:tcW w:type="dxa" w:w="4320"/>
          </w:tcPr>
          <w:p>
            <w:r>
              <w:t>Capital gain (profits interest; §1061 &gt;3-yr hold)</w:t>
            </w:r>
          </w:p>
        </w:tc>
      </w:tr>
    </w:tbl>
    <w:p/>
    <w:p>
      <w:pPr>
        <w:pStyle w:val="Heading1"/>
      </w:pPr>
      <w:r>
        <w:t>8. Structure B — the stronger fallback</w:t>
      </w:r>
    </w:p>
    <w:p>
      <w:r>
        <w:rPr>
          <w:b w:val="0"/>
          <w:i w:val="0"/>
        </w:rPr>
        <w:t>Kao owns 100% permanently and Hanover is a fee developer whose promote is replicated as an ordinary-income incentive fee (same hurdles, measured at sale/refi/appraisal). With a single owner there is no partnership question, so this is the strongest version of the exchange. The trade-off is that Hanover's incentive fee is ordinary income rather than capital gain — gross it up to keep Hanover whole. Use Structure B when the parties want the strongest, simplest exchange; use Structure A when Hanover requires true ownership and capital-gain carry.</w:t>
      </w:r>
    </w:p>
    <w:p>
      <w:pPr>
        <w:pStyle w:val="Heading1"/>
      </w:pPr>
      <w:r>
        <w:t>9. Next steps / checklist</w:t>
      </w:r>
    </w:p>
    <w:p>
      <w:r>
        <w:rPr>
          <w:b/>
          <w:i w:val="0"/>
        </w:rPr>
        <w:t>Before Belara closes</w:t>
      </w:r>
    </w:p>
    <w:p>
      <w:pPr>
        <w:pStyle w:val="ListBullet"/>
      </w:pPr>
      <w:r>
        <w:t>Engage the QI and EAT (test independence / disqualified-person status); engage §1031 counsel + CPA.</w:t>
      </w:r>
    </w:p>
    <w:p>
      <w:pPr>
        <w:pStyle w:val="ListBullet"/>
      </w:pPr>
      <w:r>
        <w:t>Form Kao NFCC Owner LLC (sole member = the exact Belara seller; admit no second member).</w:t>
      </w:r>
    </w:p>
    <w:p>
      <w:pPr>
        <w:pStyle w:val="ListBullet"/>
      </w:pPr>
      <w:r>
        <w:t>Get written lender consent to lend to the EAT and to the later transfer/JV.</w:t>
      </w:r>
    </w:p>
    <w:p>
      <w:pPr>
        <w:pStyle w:val="ListBullet"/>
      </w:pPr>
      <w:r>
        <w:t>Confirm Kao never owned North Forsyth and the land seller is unrelated (Rev. Proc. 2004-51 / §1031(f)).</w:t>
      </w:r>
    </w:p>
    <w:p>
      <w:pPr>
        <w:pStyle w:val="ListBullet"/>
      </w:pPr>
      <w:r>
        <w:t>Model boot, §752, and §707; line up a named backup DST.</w:t>
      </w:r>
    </w:p>
    <w:p>
      <w:r>
        <w:rPr>
          <w:b/>
          <w:i w:val="0"/>
        </w:rPr>
        <w:t>Phase 1 — the exchange</w:t>
      </w:r>
    </w:p>
    <w:p>
      <w:pPr>
        <w:pStyle w:val="ListBullet"/>
      </w:pPr>
      <w:r>
        <w:t>Day 0: Belara closes; proceeds to the QI (never to Kao).</w:t>
      </w:r>
    </w:p>
    <w:p>
      <w:pPr>
        <w:pStyle w:val="ListBullet"/>
      </w:pPr>
      <w:r>
        <w:t>Day 45: identify North Forsyth and a named backup DST in writing.</w:t>
      </w:r>
    </w:p>
    <w:p>
      <w:pPr>
        <w:pStyle w:val="ListBullet"/>
      </w:pPr>
      <w:r>
        <w:t>Days 0–180: EAT builds under FMV DMA + GMP; Hanover guaranties; Hanover 5% in as a secured, interest-bearing loan.</w:t>
      </w:r>
    </w:p>
    <w:p>
      <w:pPr>
        <w:pStyle w:val="ListBullet"/>
      </w:pPr>
      <w:r>
        <w:t>Day 180: EAT deeds 100% to Kao NFCC Owner LLC; commission a Day-180 in-place valuation; extend the 2026 return; file Form 8824.</w:t>
      </w:r>
    </w:p>
    <w:p>
      <w:r>
        <w:rPr>
          <w:b/>
          <w:i w:val="0"/>
        </w:rPr>
        <w:t>Phase 2 — the JV</w:t>
      </w:r>
    </w:p>
    <w:p>
      <w:pPr>
        <w:pStyle w:val="ListBullet"/>
      </w:pPr>
      <w:r>
        <w:t>Let the exchange season from the deed date; Kao holds and operates as 100% owner.</w:t>
      </w:r>
    </w:p>
    <w:p>
      <w:pPr>
        <w:pStyle w:val="ListBullet"/>
      </w:pPr>
      <w:r>
        <w:t>Do not pre-sign the contribution — non-binding LOI only; no fixed-price equity option.</w:t>
      </w:r>
    </w:p>
    <w:p>
      <w:pPr>
        <w:pStyle w:val="ListBullet"/>
      </w:pPr>
      <w:r>
        <w:t>Form the JV; make the §721 contribution; convert Hanover's loan to its 5% + promote; adopt the operating agreement.</w:t>
      </w:r>
    </w:p>
    <w:p>
      <w:pPr>
        <w:pStyle w:val="ListBullet"/>
      </w:pPr>
      <w:r>
        <w:t>Confirm no §707 disguised sale and model §752 before signing.</w:t>
      </w:r>
    </w:p>
    <w:p/>
    <w:p>
      <w:r>
        <w:rPr>
          <w:i/>
          <w:color w:val="5B6B7F"/>
          <w:sz w:val="17"/>
        </w:rPr>
        <w:t>This memorandum is privileged and confidential attorney work product prepared for internal planning. It is not a covered opinion and is not legal or tax advice that may be relied upon to avoid penalties. Entity names are placeholders; figures are rounded planning numbers, not verified deal terms. The position described is conditional and best characterized as more-likely-than-not (not "clean," and no position here rises to "will"); its strength depends on seasoning and facts. Obtain a written §1031 opinion on the executed documents before Belara closes.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