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ageBreakBefore w:val="0"/>
        <w:spacing w:after="40" w:before="0"/>
        <w:jc w:val="left"/>
      </w:pPr>
      <w:r>
        <w:rPr>
          <w:b/>
          <w:i w:val="0"/>
          <w:color w:val="6CA43A"/>
          <w:sz w:val="19"/>
        </w:rPr>
        <w:t>UNIVERSIDAD YACHAY TECH  |  School of Biological Sciences and Engineering</w:t>
      </w:r>
    </w:p>
    <w:p>
      <w:pPr>
        <w:pageBreakBefore w:val="0"/>
        <w:spacing w:after="280" w:before="0"/>
        <w:jc w:val="left"/>
      </w:pPr>
      <w:r>
        <w:rPr>
          <w:b w:val="0"/>
          <w:i w:val="0"/>
          <w:color w:val="444444"/>
          <w:sz w:val="19"/>
        </w:rPr>
        <w:t>Biomechanics of Gait - Second Semester 2026  |  Integrative Project</w:t>
      </w:r>
    </w:p>
    <w:p>
      <w:pPr>
        <w:pageBreakBefore w:val="0"/>
        <w:widowControl/>
        <w:spacing w:after="40"/>
      </w:pPr>
      <w:r>
        <w:t>Final audited research report — F31</w:t>
      </w:r>
    </w:p>
    <w:p>
      <w:pPr>
        <w:pageBreakBefore w:val="0"/>
        <w:widowControl/>
        <w:spacing w:after="200"/>
      </w:pPr>
      <w:r>
        <w:t>Quality-Controlled EMG Filtering and Bilateral Temporal-Progression Classification</w:t>
      </w:r>
    </w:p>
    <w:p>
      <w:pPr>
        <w:spacing w:after="120" w:before="0"/>
        <w:pageBreakBefore w:val="0"/>
        <w:pBdr>
          <w:bottom w:val="single" w:sz="12" w:space="1" w:color="6CA43A"/>
        </w:pBdr>
      </w:pPr>
    </w:p>
    <w:p>
      <w:pPr>
        <w:pageBreakBefore w:val="0"/>
        <w:spacing w:after="120" w:before="0"/>
        <w:jc w:val="both"/>
      </w:pPr>
    </w:p>
    <w:p>
      <w:pPr>
        <w:pStyle w:val="Heading1"/>
        <w:keepNext/>
        <w:pageBreakBefore w:val="0"/>
        <w:spacing w:before="280" w:after="120"/>
      </w:pPr>
      <w:r>
        <w:t>Report information</w:t>
      </w:r>
    </w:p>
    <w:tbl>
      <w:tblPr>
        <w:tblStyle w:val="TableGrid"/>
        <w:tblW w:type="auto" w:w="0"/>
        <w:tblLook w:firstColumn="1" w:firstRow="1" w:lastColumn="0" w:lastRow="0" w:noHBand="0" w:noVBand="1" w:val="04A0"/>
        <w:tblBorders>
          <w:top w:val="single" w:sz="4" w:space="0" w:color="9AA7B5"/>
          <w:left w:val="single" w:sz="4" w:space="0" w:color="9AA7B5"/>
          <w:bottom w:val="single" w:sz="4" w:space="0" w:color="9AA7B5"/>
          <w:right w:val="single" w:sz="4" w:space="0" w:color="9AA7B5"/>
          <w:insideH w:val="single" w:sz="4" w:space="0" w:color="9AA7B5"/>
          <w:insideV w:val="single" w:sz="4" w:space="0" w:color="9AA7B5"/>
        </w:tblBorders>
        <w:tblLayout w:type="fixed"/>
      </w:tblPr>
      <w:tblGrid>
        <w:gridCol w:w="3312"/>
        <w:gridCol w:w="5861"/>
      </w:tblGrid>
      <w:tr>
        <w:trPr>
          <w:tblHeader w:val="true"/>
          <w:cantSplit/>
        </w:trPr>
        <w:tc>
          <w:tcPr>
            <w:tcW w:type="dxa" w:w="3312"/>
            <w:shd w:val="clear" w:color="auto" w:fill="1F3B63"/>
            <w:tcMar>
              <w:top w:w="60" w:type="dxa"/>
              <w:start w:w="80" w:type="dxa"/>
              <w:bottom w:w="60" w:type="dxa"/>
              <w:end w:w="80" w:type="dxa"/>
            </w:tcMar>
          </w:tcPr>
          <w:p>
            <w:pPr>
              <w:spacing w:after="0" w:before="0"/>
            </w:pPr>
            <w:r/>
            <w:r>
              <w:rPr>
                <w:b/>
                <w:i w:val="0"/>
                <w:color w:val="FFFFFF"/>
                <w:sz w:val="19"/>
              </w:rPr>
              <w:t>Field</w:t>
            </w:r>
          </w:p>
        </w:tc>
        <w:tc>
          <w:tcPr>
            <w:tcW w:type="dxa" w:w="5861"/>
            <w:shd w:val="clear" w:color="auto" w:fill="1F3B63"/>
            <w:tcMar>
              <w:top w:w="60" w:type="dxa"/>
              <w:start w:w="80" w:type="dxa"/>
              <w:bottom w:w="60" w:type="dxa"/>
              <w:end w:w="80" w:type="dxa"/>
            </w:tcMar>
          </w:tcPr>
          <w:p>
            <w:pPr>
              <w:spacing w:after="0" w:before="0"/>
            </w:pPr>
            <w:r/>
            <w:r>
              <w:rPr>
                <w:b/>
                <w:i w:val="0"/>
                <w:color w:val="FFFFFF"/>
                <w:sz w:val="19"/>
              </w:rPr>
              <w:t>Value</w:t>
            </w:r>
          </w:p>
        </w:tc>
      </w:tr>
      <w:tr>
        <w:trPr>
          <w:cantSplit/>
        </w:trPr>
        <w:tc>
          <w:tcPr>
            <w:tcW w:type="dxa" w:w="3312"/>
            <w:tcMar>
              <w:top w:w="90" w:type="dxa"/>
              <w:start w:w="95" w:type="dxa"/>
              <w:bottom w:w="90" w:type="dxa"/>
              <w:end w:w="95" w:type="dxa"/>
            </w:tcMar>
            <w:vAlign w:val="center"/>
          </w:tcPr>
          <w:p>
            <w:pPr>
              <w:spacing w:after="20" w:before="20" w:line="240" w:lineRule="auto"/>
            </w:pPr>
            <w:r>
              <w:rPr>
                <w:rFonts w:ascii="Arial" w:hAnsi="Arial"/>
                <w:b w:val="0"/>
                <w:color w:val="222222"/>
                <w:sz w:val="16"/>
              </w:rPr>
              <w:t>Study identifier</w:t>
            </w:r>
          </w:p>
        </w:tc>
        <w:tc>
          <w:tcPr>
            <w:tcW w:type="dxa" w:w="5861"/>
            <w:tcMar>
              <w:top w:w="90" w:type="dxa"/>
              <w:start w:w="95" w:type="dxa"/>
              <w:bottom w:w="90" w:type="dxa"/>
              <w:end w:w="95" w:type="dxa"/>
            </w:tcMar>
            <w:vAlign w:val="center"/>
          </w:tcPr>
          <w:p>
            <w:pPr>
              <w:spacing w:after="20" w:before="20" w:line="240" w:lineRule="auto"/>
            </w:pPr>
            <w:r>
              <w:rPr>
                <w:rFonts w:ascii="Arial" w:hAnsi="Arial"/>
                <w:b w:val="0"/>
                <w:color w:val="222222"/>
                <w:sz w:val="16"/>
              </w:rPr>
              <w:t>F31 — local EMG analysis</w:t>
            </w:r>
          </w:p>
        </w:tc>
      </w:tr>
      <w:tr>
        <w:trPr>
          <w:cantSplit/>
        </w:trPr>
        <w:tc>
          <w:tcPr>
            <w:tcW w:type="dxa" w:w="3312"/>
            <w:tcMar>
              <w:top w:w="90" w:type="dxa"/>
              <w:start w:w="95" w:type="dxa"/>
              <w:bottom w:w="90" w:type="dxa"/>
              <w:end w:w="95" w:type="dxa"/>
            </w:tcMar>
            <w:vAlign w:val="center"/>
          </w:tcPr>
          <w:p>
            <w:pPr>
              <w:spacing w:after="20" w:before="20" w:line="240" w:lineRule="auto"/>
            </w:pPr>
            <w:r>
              <w:rPr>
                <w:rFonts w:ascii="Arial" w:hAnsi="Arial"/>
                <w:b w:val="0"/>
                <w:color w:val="222222"/>
                <w:sz w:val="16"/>
              </w:rPr>
              <w:t>Report title</w:t>
            </w:r>
          </w:p>
        </w:tc>
        <w:tc>
          <w:tcPr>
            <w:tcW w:type="dxa" w:w="5861"/>
            <w:tcMar>
              <w:top w:w="90" w:type="dxa"/>
              <w:start w:w="95" w:type="dxa"/>
              <w:bottom w:w="90" w:type="dxa"/>
              <w:end w:w="95" w:type="dxa"/>
            </w:tcMar>
            <w:vAlign w:val="center"/>
          </w:tcPr>
          <w:p>
            <w:pPr>
              <w:spacing w:after="20" w:before="20" w:line="240" w:lineRule="auto"/>
            </w:pPr>
            <w:r>
              <w:rPr>
                <w:rFonts w:ascii="Arial" w:hAnsi="Arial"/>
                <w:b w:val="0"/>
                <w:color w:val="222222"/>
                <w:sz w:val="16"/>
              </w:rPr>
              <w:t>Quality-Controlled EMG Filtering and Bilateral Temporal-Progression Classification</w:t>
            </w:r>
          </w:p>
        </w:tc>
      </w:tr>
      <w:tr>
        <w:trPr>
          <w:cantSplit/>
        </w:trPr>
        <w:tc>
          <w:tcPr>
            <w:tcW w:type="dxa" w:w="3312"/>
            <w:tcMar>
              <w:top w:w="90" w:type="dxa"/>
              <w:start w:w="95" w:type="dxa"/>
              <w:bottom w:w="90" w:type="dxa"/>
              <w:end w:w="95" w:type="dxa"/>
            </w:tcMar>
            <w:vAlign w:val="center"/>
          </w:tcPr>
          <w:p>
            <w:pPr>
              <w:spacing w:after="20" w:before="20" w:line="240" w:lineRule="auto"/>
            </w:pPr>
            <w:r>
              <w:rPr>
                <w:rFonts w:ascii="Arial" w:hAnsi="Arial"/>
                <w:b w:val="0"/>
                <w:color w:val="222222"/>
                <w:sz w:val="16"/>
              </w:rPr>
              <w:t>Authors and contribution roles</w:t>
            </w:r>
          </w:p>
        </w:tc>
        <w:tc>
          <w:tcPr>
            <w:tcW w:type="dxa" w:w="5861"/>
            <w:tcMar>
              <w:top w:w="90" w:type="dxa"/>
              <w:start w:w="95" w:type="dxa"/>
              <w:bottom w:w="90" w:type="dxa"/>
              <w:end w:w="95" w:type="dxa"/>
            </w:tcMar>
            <w:vAlign w:val="center"/>
          </w:tcPr>
          <w:p>
            <w:pPr>
              <w:spacing w:after="20" w:before="20" w:line="240" w:lineRule="auto"/>
            </w:pPr>
            <w:r>
              <w:rPr>
                <w:rFonts w:ascii="Arial" w:hAnsi="Arial"/>
                <w:b w:val="0"/>
                <w:color w:val="222222"/>
                <w:sz w:val="16"/>
              </w:rPr>
              <w:t>Author names and roles were not supplied with the study materials.</w:t>
            </w:r>
          </w:p>
        </w:tc>
      </w:tr>
      <w:tr>
        <w:trPr>
          <w:cantSplit/>
        </w:trPr>
        <w:tc>
          <w:tcPr>
            <w:tcW w:type="dxa" w:w="3312"/>
            <w:tcMar>
              <w:top w:w="90" w:type="dxa"/>
              <w:start w:w="95" w:type="dxa"/>
              <w:bottom w:w="90" w:type="dxa"/>
              <w:end w:w="95" w:type="dxa"/>
            </w:tcMar>
            <w:vAlign w:val="center"/>
          </w:tcPr>
          <w:p>
            <w:pPr>
              <w:spacing w:after="20" w:before="20" w:line="240" w:lineRule="auto"/>
            </w:pPr>
            <w:r>
              <w:rPr>
                <w:rFonts w:ascii="Arial" w:hAnsi="Arial"/>
                <w:b w:val="0"/>
                <w:color w:val="222222"/>
                <w:sz w:val="16"/>
              </w:rPr>
              <w:t>Public code repository</w:t>
            </w:r>
          </w:p>
        </w:tc>
        <w:tc>
          <w:tcPr>
            <w:tcW w:type="dxa" w:w="5861"/>
            <w:tcMar>
              <w:top w:w="90" w:type="dxa"/>
              <w:start w:w="95" w:type="dxa"/>
              <w:bottom w:w="90" w:type="dxa"/>
              <w:end w:w="95" w:type="dxa"/>
            </w:tcMar>
            <w:vAlign w:val="center"/>
          </w:tcPr>
          <w:p>
            <w:pPr>
              <w:spacing w:after="20" w:before="20" w:line="240" w:lineRule="auto"/>
            </w:pPr>
            <w:r>
              <w:rPr>
                <w:rFonts w:ascii="Arial" w:hAnsi="Arial"/>
                <w:b w:val="0"/>
                <w:color w:val="222222"/>
                <w:sz w:val="16"/>
              </w:rPr>
              <w:t>https://github.com/EthanGL1/proyecto-biomecanica-emg</w:t>
            </w:r>
          </w:p>
        </w:tc>
      </w:tr>
      <w:tr>
        <w:trPr>
          <w:cantSplit/>
        </w:trPr>
        <w:tc>
          <w:tcPr>
            <w:tcW w:type="dxa" w:w="3312"/>
            <w:tcMar>
              <w:top w:w="90" w:type="dxa"/>
              <w:start w:w="95" w:type="dxa"/>
              <w:bottom w:w="90" w:type="dxa"/>
              <w:end w:w="95" w:type="dxa"/>
            </w:tcMar>
            <w:vAlign w:val="center"/>
          </w:tcPr>
          <w:p>
            <w:pPr>
              <w:spacing w:after="20" w:before="20" w:line="240" w:lineRule="auto"/>
            </w:pPr>
            <w:r>
              <w:rPr>
                <w:rFonts w:ascii="Arial" w:hAnsi="Arial"/>
                <w:b w:val="0"/>
                <w:color w:val="222222"/>
                <w:sz w:val="16"/>
              </w:rPr>
              <w:t>Report version</w:t>
            </w:r>
          </w:p>
        </w:tc>
        <w:tc>
          <w:tcPr>
            <w:tcW w:type="dxa" w:w="5861"/>
            <w:tcMar>
              <w:top w:w="90" w:type="dxa"/>
              <w:start w:w="95" w:type="dxa"/>
              <w:bottom w:w="90" w:type="dxa"/>
              <w:end w:w="95" w:type="dxa"/>
            </w:tcMar>
            <w:vAlign w:val="center"/>
          </w:tcPr>
          <w:p>
            <w:pPr>
              <w:spacing w:after="20" w:before="20" w:line="240" w:lineRule="auto"/>
            </w:pPr>
            <w:r>
              <w:rPr>
                <w:rFonts w:ascii="Arial" w:hAnsi="Arial"/>
                <w:b w:val="0"/>
                <w:color w:val="222222"/>
                <w:sz w:val="16"/>
              </w:rPr>
              <w:t>F31 (18 October 2026); see the repository history for the code release.</w:t>
            </w:r>
          </w:p>
        </w:tc>
      </w:tr>
      <w:tr>
        <w:trPr>
          <w:cantSplit/>
        </w:trPr>
        <w:tc>
          <w:tcPr>
            <w:tcW w:type="dxa" w:w="3312"/>
            <w:tcMar>
              <w:top w:w="90" w:type="dxa"/>
              <w:start w:w="95" w:type="dxa"/>
              <w:bottom w:w="90" w:type="dxa"/>
              <w:end w:w="95" w:type="dxa"/>
            </w:tcMar>
            <w:vAlign w:val="center"/>
          </w:tcPr>
          <w:p>
            <w:pPr>
              <w:spacing w:after="20" w:before="20" w:line="240" w:lineRule="auto"/>
            </w:pPr>
            <w:r>
              <w:rPr>
                <w:rFonts w:ascii="Arial" w:hAnsi="Arial"/>
                <w:b w:val="0"/>
                <w:color w:val="222222"/>
                <w:sz w:val="16"/>
              </w:rPr>
              <w:t>Report date</w:t>
            </w:r>
          </w:p>
        </w:tc>
        <w:tc>
          <w:tcPr>
            <w:tcW w:type="dxa" w:w="5861"/>
            <w:tcMar>
              <w:top w:w="90" w:type="dxa"/>
              <w:start w:w="95" w:type="dxa"/>
              <w:bottom w:w="90" w:type="dxa"/>
              <w:end w:w="95" w:type="dxa"/>
            </w:tcMar>
            <w:vAlign w:val="center"/>
          </w:tcPr>
          <w:p>
            <w:pPr>
              <w:spacing w:after="20" w:before="20" w:line="240" w:lineRule="auto"/>
            </w:pPr>
            <w:r>
              <w:rPr>
                <w:rFonts w:ascii="Arial" w:hAnsi="Arial"/>
                <w:b w:val="0"/>
                <w:color w:val="222222"/>
                <w:sz w:val="16"/>
              </w:rPr>
              <w:t>18 October 2026</w:t>
            </w:r>
          </w:p>
        </w:tc>
      </w:tr>
    </w:tbl>
    <w:p>
      <w:pPr>
        <w:pageBreakBefore w:val="0"/>
        <w:spacing w:after="160" w:before="0"/>
        <w:jc w:val="both"/>
      </w:pPr>
    </w:p>
    <w:p>
      <w:pPr>
        <w:pStyle w:val="Heading2"/>
        <w:keepNext/>
        <w:pageBreakBefore w:val="0"/>
        <w:spacing w:before="200" w:after="120"/>
      </w:pPr>
      <w:r>
        <w:rPr>
          <w:rFonts w:ascii="Arial" w:hAnsi="Arial"/>
          <w:b/>
          <w:color w:val="1F3B63"/>
          <w:sz w:val="25"/>
        </w:rPr>
        <w:t>Abstract</w:t>
      </w:r>
    </w:p>
    <w:p>
      <w:pPr>
        <w:pageBreakBefore w:val="0"/>
        <w:widowControl/>
        <w:spacing w:after="40"/>
      </w:pPr>
      <w:r>
        <w:t>Surface electromyography (sEMG) can describe muscle electrical activity but does not independently establish physiological fatigue. This study audited 140 local recordings from 15 recording-derived groups and compared temporal-position classifiers using only the recordings. The participant spreadsheet and external datasets were excluded. R1–R5 contributed 138 recordings and 414 segments labelled as the early, middle or late elapsed-time third; R0/R0_1 were quality-control-only. Five filter branches, seven feature-family combinations and 11 classifier families (325 fixed configurations) were evaluated using 15 outer leave-one-participant-out folds and four grouped inner folds. The global nested selection procedure achieved participant-mean macro-F1 0.740 (SD 0.099; 95% participant-bootstrap CI 0.689–0.787) and macro ROC-AUC OvR 0.941 (SD 0.038; CI 0.921–0.959). Logistic regression had the highest fixed-family macro-F1 point estimate, 0.751 (SD 0.108), without evidence of superiority. Post hoc stratification found left/right macro-F1 values of 0.776 and 0.686, respectively; the paired 14-participant interval included zero. MDF and MNF showed predominantly negative time-associated slopes, while RMS had a positive median slope, but recordings were non-monotonic and lacked synchronized force, verified repetition events and independent fatigue labels. All confidence intervals resampled participants, preserving dependence among each person’s recordings and segments. The work therefore supports a reproducible temporal-position benchmark and filter audit, not a fatigue detector, physiological threshold, onset or peak.</w:t>
      </w:r>
    </w:p>
    <w:p>
      <w:pPr>
        <w:pageBreakBefore w:val="0"/>
        <w:spacing w:after="40"/>
      </w:pPr>
    </w:p>
    <w:p>
      <w:pPr>
        <w:pageBreakBefore w:val="0"/>
        <w:spacing w:after="40"/>
      </w:pPr>
    </w:p>
    <w:p>
      <w:pPr>
        <w:pageBreakBefore w:val="0"/>
        <w:spacing w:after="40"/>
      </w:pPr>
    </w:p>
    <w:p>
      <w:pPr>
        <w:pageBreakBefore w:val="0"/>
        <w:spacing w:after="40"/>
      </w:pPr>
    </w:p>
    <w:p>
      <w:pPr>
        <w:pageBreakBefore w:val="0"/>
        <w:spacing w:after="120" w:before="0"/>
        <w:jc w:val="both"/>
      </w:pPr>
    </w:p>
    <w:p>
      <w:pPr>
        <w:pStyle w:val="Heading2"/>
        <w:keepNext/>
        <w:pageBreakBefore w:val="0"/>
        <w:spacing w:before="200" w:after="120"/>
      </w:pPr>
      <w:r>
        <w:rPr>
          <w:rFonts w:ascii="Arial" w:hAnsi="Arial"/>
          <w:b/>
          <w:color w:val="1F3B63"/>
          <w:sz w:val="25"/>
        </w:rPr>
        <w:t>Keywords</w:t>
      </w:r>
    </w:p>
    <w:p>
      <w:pPr>
        <w:pageBreakBefore w:val="0"/>
        <w:widowControl/>
        <w:spacing w:after="40"/>
      </w:pPr>
      <w:r>
        <w:t>surface electromyography; signal quality; digital filtering; temporal-position proxy; grouped validation; bilateral analysis</w:t>
      </w:r>
    </w:p>
    <w:p>
      <w:pPr>
        <w:pageBreakBefore w:val="0"/>
        <w:spacing w:after="120" w:before="0"/>
        <w:jc w:val="both"/>
      </w:pPr>
    </w:p>
    <w:p>
      <w:pPr>
        <w:pStyle w:val="Heading1"/>
        <w:keepNext/>
        <w:pageBreakBefore w:val="0"/>
        <w:spacing w:before="280" w:after="120"/>
      </w:pPr>
      <w:r>
        <w:rPr>
          <w:rFonts w:ascii="Arial" w:hAnsi="Arial"/>
          <w:b/>
          <w:color w:val="1F3B63"/>
          <w:sz w:val="30"/>
        </w:rPr>
        <w:t>1.  Fatigue: definition and state of the art</w:t>
      </w:r>
    </w:p>
    <w:p>
      <w:pPr>
        <w:pStyle w:val="Heading2"/>
        <w:keepNext/>
        <w:pageBreakBefore w:val="0"/>
        <w:spacing w:before="200" w:after="120"/>
      </w:pPr>
      <w:r>
        <w:rPr>
          <w:rFonts w:ascii="Arial" w:hAnsi="Arial"/>
          <w:b/>
          <w:color w:val="1F3B63"/>
          <w:sz w:val="25"/>
        </w:rPr>
        <w:t>1.1  Which fatigue are you detecting?</w:t>
      </w:r>
    </w:p>
    <w:p>
      <w:pPr>
        <w:pageBreakBefore w:val="0"/>
        <w:widowControl/>
        <w:spacing w:after="40"/>
      </w:pPr>
      <w:r>
        <w:t>The outcome in this study is not central or peripheral fatigue, nor a verified acute or accumulated fatigue state. It is a three-class proxy for elapsed recording position: early, middle and late thirds within each eligible R1–R5 file. The owner reported that exercise continued to technical failure, but no per-file failure timestamp, verified repetition boundary, force trace or load record was available to anchor the labels. A model that predicts these thirds has not thereby detected fatigue.</w:t>
      </w:r>
    </w:p>
    <w:p>
      <w:pPr>
        <w:pageBreakBefore w:val="0"/>
        <w:spacing w:after="40"/>
      </w:pPr>
    </w:p>
    <w:p>
      <w:pPr>
        <w:pageBreakBefore w:val="0"/>
        <w:spacing w:after="40"/>
      </w:pPr>
    </w:p>
    <w:p>
      <w:pPr>
        <w:pageBreakBefore w:val="0"/>
        <w:spacing w:after="40"/>
      </w:pPr>
    </w:p>
    <w:p>
      <w:pPr>
        <w:pageBreakBefore w:val="0"/>
        <w:spacing w:after="120" w:before="0"/>
        <w:jc w:val="both"/>
      </w:pPr>
    </w:p>
    <w:p>
      <w:pPr>
        <w:pStyle w:val="Heading2"/>
        <w:keepNext/>
        <w:pageBreakBefore w:val="0"/>
        <w:spacing w:before="200" w:after="120"/>
      </w:pPr>
      <w:r>
        <w:rPr>
          <w:rFonts w:ascii="Arial" w:hAnsi="Arial"/>
          <w:b/>
          <w:color w:val="1F3B63"/>
          <w:sz w:val="25"/>
        </w:rPr>
        <w:t>1.2  Physiological basis</w:t>
      </w:r>
    </w:p>
    <w:p>
      <w:pPr>
        <w:pageBreakBefore w:val="0"/>
        <w:widowControl/>
        <w:spacing w:after="40"/>
      </w:pPr>
      <w:r>
        <w:t>During a sustained contraction at approximately controlled force, changes in recruitment and motor-unit firing, muscle-fibre conduction velocity and spectral power distribution can accompany fatigue. A downward shift in median or mean frequency is a commonly described pattern under those constraints; RMS can increase, remain stable or decrease as recruitment, effort and force capacity change. Dynamic movement, changing force, electrode motion, sweat, temperature and signal conditioning can alter the same descriptors [1], [31], [32], [34], [38], [39]. For a centered segment x_c[n], RMS = sqrt((1/N) sum x_c[n]^2). For power spectrum P(f), MNF = sum_f fP(f)/sum_f P(f), and MDF is the frequency at which cumulative power reaches one half of total power over the analysis band. A negative spectral slope can be compatible with fatigue in controlled protocols but is not a universal threshold or proof of fatigue.</w:t>
      </w:r>
    </w:p>
    <w:p>
      <w:pPr>
        <w:pageBreakBefore w:val="0"/>
        <w:spacing w:after="40"/>
      </w:pPr>
    </w:p>
    <w:p>
      <w:pPr>
        <w:pageBreakBefore w:val="0"/>
        <w:spacing w:after="40"/>
      </w:pPr>
    </w:p>
    <w:p>
      <w:pPr>
        <w:pageBreakBefore w:val="0"/>
        <w:spacing w:after="40"/>
      </w:pPr>
    </w:p>
    <w:p>
      <w:pPr>
        <w:pageBreakBefore w:val="0"/>
        <w:spacing w:after="40"/>
      </w:pPr>
    </w:p>
    <w:p>
      <w:pPr>
        <w:pageBreakBefore w:val="0"/>
        <w:spacing w:after="120" w:before="0"/>
        <w:jc w:val="both"/>
      </w:pPr>
    </w:p>
    <w:p>
      <w:pPr>
        <w:pStyle w:val="Heading2"/>
        <w:keepNext/>
        <w:pageBreakBefore w:val="0"/>
        <w:spacing w:before="200" w:after="120"/>
      </w:pPr>
      <w:r>
        <w:rPr>
          <w:rFonts w:ascii="Arial" w:hAnsi="Arial"/>
          <w:b/>
          <w:color w:val="1F3B63"/>
          <w:sz w:val="25"/>
        </w:rPr>
        <w:t>1.3  How fatigue has been detected from EMG - review</w:t>
      </w:r>
    </w:p>
    <w:p>
      <w:pPr>
        <w:spacing w:before="140" w:after="60"/>
      </w:pPr>
      <w:r>
        <w:rPr>
          <w:rFonts w:ascii="Arial" w:hAnsi="Arial"/>
          <w:b/>
          <w:color w:val="1F3B63"/>
          <w:sz w:val="18"/>
        </w:rPr>
        <w:t>TABLE I. COMPARATIVE PRIMARY STUDIES ON sEMG FATIGUE OR RELATED PROGRESSION TASKS</w:t>
      </w:r>
    </w:p>
    <w:tbl>
      <w:tblPr>
        <w:tblStyle w:val="TableGrid"/>
        <w:tblW w:type="auto" w:w="0"/>
        <w:tblLook w:firstColumn="1" w:firstRow="1" w:lastColumn="0" w:lastRow="0" w:noHBand="0" w:noVBand="1" w:val="04A0"/>
        <w:jc w:val="center"/>
        <w:tblBorders>
          <w:top w:val="single" w:sz="4" w:space="0" w:color="9AA7B5"/>
          <w:left w:val="single" w:sz="4" w:space="0" w:color="9AA7B5"/>
          <w:bottom w:val="single" w:sz="4" w:space="0" w:color="9AA7B5"/>
          <w:right w:val="single" w:sz="4" w:space="0" w:color="9AA7B5"/>
          <w:insideH w:val="single" w:sz="4" w:space="0" w:color="9AA7B5"/>
          <w:insideV w:val="single" w:sz="4" w:space="0" w:color="9AA7B5"/>
        </w:tblBorders>
        <w:tblLayout w:type="autofit"/>
      </w:tblPr>
      <w:tblGrid>
        <w:gridCol w:w="1368"/>
        <w:gridCol w:w="1512"/>
        <w:gridCol w:w="1944"/>
        <w:gridCol w:w="1584"/>
        <w:gridCol w:w="1224"/>
        <w:gridCol w:w="1541"/>
      </w:tblGrid>
      <w:tr>
        <w:trPr>
          <w:tblHeader w:val="true"/>
          <w:cantSplit/>
          <w:tblHeader/>
        </w:trPr>
        <w:tc>
          <w:tcPr>
            <w:tcW w:type="dxa" w:w="1368"/>
            <w:shd w:val="clear" w:color="auto" w:fill="1F3B63"/>
            <w:tcMar>
              <w:top w:w="90" w:type="dxa"/>
              <w:start w:w="95" w:type="dxa"/>
              <w:bottom w:w="90" w:type="dxa"/>
              <w:end w:w="95" w:type="dxa"/>
            </w:tcMar>
            <w:vAlign w:val="center"/>
          </w:tcPr>
          <w:p>
            <w:pPr>
              <w:spacing w:after="20" w:before="20" w:line="240" w:lineRule="auto"/>
              <w:jc w:val="center"/>
            </w:pPr>
            <w:r>
              <w:rPr>
                <w:rFonts w:ascii="Arial" w:hAnsi="Arial"/>
                <w:b/>
                <w:color w:val="FFFFFF"/>
                <w:sz w:val="14"/>
              </w:rPr>
              <w:t>Reference</w:t>
            </w:r>
          </w:p>
        </w:tc>
        <w:tc>
          <w:tcPr>
            <w:tcW w:type="dxa" w:w="1512"/>
            <w:shd w:val="clear" w:color="auto" w:fill="1F3B63"/>
            <w:tcMar>
              <w:top w:w="90" w:type="dxa"/>
              <w:start w:w="95" w:type="dxa"/>
              <w:bottom w:w="90" w:type="dxa"/>
              <w:end w:w="95" w:type="dxa"/>
            </w:tcMar>
            <w:vAlign w:val="center"/>
          </w:tcPr>
          <w:p>
            <w:pPr>
              <w:spacing w:after="20" w:before="20" w:line="240" w:lineRule="auto"/>
              <w:jc w:val="center"/>
            </w:pPr>
            <w:r>
              <w:rPr>
                <w:rFonts w:ascii="Arial" w:hAnsi="Arial"/>
                <w:b/>
                <w:color w:val="FFFFFF"/>
                <w:sz w:val="14"/>
              </w:rPr>
              <w:t>Task / sample</w:t>
            </w:r>
          </w:p>
        </w:tc>
        <w:tc>
          <w:tcPr>
            <w:tcW w:type="dxa" w:w="1944"/>
            <w:shd w:val="clear" w:color="auto" w:fill="1F3B63"/>
            <w:tcMar>
              <w:top w:w="90" w:type="dxa"/>
              <w:start w:w="95" w:type="dxa"/>
              <w:bottom w:w="90" w:type="dxa"/>
              <w:end w:w="95" w:type="dxa"/>
            </w:tcMar>
            <w:vAlign w:val="center"/>
          </w:tcPr>
          <w:p>
            <w:pPr>
              <w:spacing w:after="20" w:before="20" w:line="240" w:lineRule="auto"/>
              <w:jc w:val="center"/>
            </w:pPr>
            <w:r>
              <w:rPr>
                <w:rFonts w:ascii="Arial" w:hAnsi="Arial"/>
                <w:b/>
                <w:color w:val="FFFFFF"/>
                <w:sz w:val="14"/>
              </w:rPr>
              <w:t>Target and labelling</w:t>
            </w:r>
          </w:p>
        </w:tc>
        <w:tc>
          <w:tcPr>
            <w:tcW w:type="dxa" w:w="1584"/>
            <w:shd w:val="clear" w:color="auto" w:fill="1F3B63"/>
            <w:tcMar>
              <w:top w:w="90" w:type="dxa"/>
              <w:start w:w="95" w:type="dxa"/>
              <w:bottom w:w="90" w:type="dxa"/>
              <w:end w:w="95" w:type="dxa"/>
            </w:tcMar>
            <w:vAlign w:val="center"/>
          </w:tcPr>
          <w:p>
            <w:pPr>
              <w:spacing w:after="20" w:before="20" w:line="240" w:lineRule="auto"/>
              <w:jc w:val="center"/>
            </w:pPr>
            <w:r>
              <w:rPr>
                <w:rFonts w:ascii="Arial" w:hAnsi="Arial"/>
                <w:b/>
                <w:color w:val="FFFFFF"/>
                <w:sz w:val="14"/>
              </w:rPr>
              <w:t>Features / model</w:t>
            </w:r>
          </w:p>
        </w:tc>
        <w:tc>
          <w:tcPr>
            <w:tcW w:type="dxa" w:w="1224"/>
            <w:shd w:val="clear" w:color="auto" w:fill="1F3B63"/>
            <w:tcMar>
              <w:top w:w="90" w:type="dxa"/>
              <w:start w:w="95" w:type="dxa"/>
              <w:bottom w:w="90" w:type="dxa"/>
              <w:end w:w="95" w:type="dxa"/>
            </w:tcMar>
            <w:vAlign w:val="center"/>
          </w:tcPr>
          <w:p>
            <w:pPr>
              <w:spacing w:after="20" w:before="20" w:line="240" w:lineRule="auto"/>
              <w:jc w:val="center"/>
            </w:pPr>
            <w:r>
              <w:rPr>
                <w:rFonts w:ascii="Arial" w:hAnsi="Arial"/>
                <w:b/>
                <w:color w:val="FFFFFF"/>
                <w:sz w:val="14"/>
              </w:rPr>
              <w:t>Validation</w:t>
            </w:r>
          </w:p>
        </w:tc>
        <w:tc>
          <w:tcPr>
            <w:tcW w:type="dxa" w:w="1541"/>
            <w:shd w:val="clear" w:color="auto" w:fill="1F3B63"/>
            <w:tcMar>
              <w:top w:w="90" w:type="dxa"/>
              <w:start w:w="95" w:type="dxa"/>
              <w:bottom w:w="90" w:type="dxa"/>
              <w:end w:w="95" w:type="dxa"/>
            </w:tcMar>
            <w:vAlign w:val="center"/>
          </w:tcPr>
          <w:p>
            <w:pPr>
              <w:spacing w:after="20" w:before="20" w:line="240" w:lineRule="auto"/>
              <w:jc w:val="center"/>
            </w:pPr>
            <w:r>
              <w:rPr>
                <w:rFonts w:ascii="Arial" w:hAnsi="Arial"/>
                <w:b/>
                <w:color w:val="FFFFFF"/>
                <w:sz w:val="14"/>
              </w:rPr>
              <w:t>Reported result and comparability limit</w:t>
            </w:r>
          </w:p>
        </w:tc>
      </w:tr>
      <w:tr>
        <w:trPr>
          <w:cantSplit/>
          <w:cantSplit/>
        </w:trPr>
        <w:tc>
          <w:tcPr>
            <w:tcW w:type="dxa" w:w="1368"/>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[3] Liu et al. (2021)</w:t>
            </w:r>
          </w:p>
        </w:tc>
        <w:tc>
          <w:tcPr>
            <w:tcW w:type="dxa" w:w="1512"/>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Dynamic sEMG fatigue classification; task-specific protocol</w:t>
            </w:r>
          </w:p>
        </w:tc>
        <w:tc>
          <w:tcPr>
            <w:tcW w:type="dxa" w:w="1944"/>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Study-defined fatigue states; not the file-time target used here</w:t>
            </w:r>
          </w:p>
        </w:tc>
        <w:tc>
          <w:tcPr>
            <w:tcW w:type="dxa" w:w="1584"/>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EMG descriptors with optimized SVM</w:t>
            </w:r>
          </w:p>
        </w:tc>
        <w:tc>
          <w:tcPr>
            <w:tcW w:type="dxa" w:w="1224"/>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SVM</w:t>
            </w:r>
          </w:p>
        </w:tc>
        <w:tc>
          <w:tcPr>
            <w:tcW w:type="dxa" w:w="1541"/>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Published score not re-pooled; labels and split are not directly comparable to participant-wise thirds.</w:t>
            </w:r>
          </w:p>
        </w:tc>
      </w:tr>
      <w:tr>
        <w:trPr>
          <w:cantSplit/>
          <w:cantSplit/>
        </w:trPr>
        <w:tc>
          <w:tcPr>
            <w:tcW w:type="dxa" w:w="1368"/>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[5] Wang et al. (2021)</w:t>
            </w:r>
          </w:p>
        </w:tc>
        <w:tc>
          <w:tcPr>
            <w:tcW w:type="dxa" w:w="1512"/>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Cycling; 20 men</w:t>
            </w:r>
          </w:p>
        </w:tc>
        <w:tc>
          <w:tcPr>
            <w:tcW w:type="dxa" w:w="1944"/>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Anaerobic-threshold protocol</w:t>
            </w:r>
          </w:p>
        </w:tc>
        <w:tc>
          <w:tcPr>
            <w:tcW w:type="dxa" w:w="1584"/>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Wavelet-packet denoising; RMS/IEMG/frequency features; LSTM</w:t>
            </w:r>
          </w:p>
        </w:tc>
        <w:tc>
          <w:tcPr>
            <w:tcW w:type="dxa" w:w="1224"/>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LSTM</w:t>
            </w:r>
          </w:p>
        </w:tc>
        <w:tc>
          <w:tcPr>
            <w:tcW w:type="dxa" w:w="1541"/>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Reported held-out accuracy 0.9518; participant grouping was not established in reviewed notes.</w:t>
            </w:r>
          </w:p>
        </w:tc>
      </w:tr>
      <w:tr>
        <w:trPr>
          <w:cantSplit/>
          <w:cantSplit/>
        </w:trPr>
        <w:tc>
          <w:tcPr>
            <w:tcW w:type="dxa" w:w="1368"/>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[6] Mu et al. (2022)</w:t>
            </w:r>
          </w:p>
        </w:tc>
        <w:tc>
          <w:tcPr>
            <w:tcW w:type="dxa" w:w="1512"/>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Exercise task; 30 adults</w:t>
            </w:r>
          </w:p>
        </w:tc>
        <w:tc>
          <w:tcPr>
            <w:tcW w:type="dxa" w:w="1944"/>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Three RPE-based states</w:t>
            </w:r>
          </w:p>
        </w:tc>
        <w:tc>
          <w:tcPr>
            <w:tcW w:type="dxa" w:w="1584"/>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sEMG+ECG features; temporal convolutional network</w:t>
            </w:r>
          </w:p>
        </w:tc>
        <w:tc>
          <w:tcPr>
            <w:tcW w:type="dxa" w:w="1224"/>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TCN</w:t>
            </w:r>
          </w:p>
        </w:tc>
        <w:tc>
          <w:tcPr>
            <w:tcW w:type="dxa" w:w="1541"/>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Random 10-fold reported; subject grouping not established in reviewed notes.</w:t>
            </w:r>
          </w:p>
        </w:tc>
      </w:tr>
      <w:tr>
        <w:trPr>
          <w:cantSplit/>
          <w:cantSplit/>
        </w:trPr>
        <w:tc>
          <w:tcPr>
            <w:tcW w:type="dxa" w:w="1368"/>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[11] Otálora et al. (2023)</w:t>
            </w:r>
          </w:p>
        </w:tc>
        <w:tc>
          <w:tcPr>
            <w:tcW w:type="dxa" w:w="1512"/>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Biceps curl; 30 participants</w:t>
            </w:r>
          </w:p>
        </w:tc>
        <w:tc>
          <w:tcPr>
            <w:tcW w:type="dxa" w:w="1944"/>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Borg CR10 and sensor protocol</w:t>
            </w:r>
          </w:p>
        </w:tc>
        <w:tc>
          <w:tcPr>
            <w:tcW w:type="dxa" w:w="1584"/>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sEMG, IMU and optical force sensing; LightGBM</w:t>
            </w:r>
          </w:p>
        </w:tc>
        <w:tc>
          <w:tcPr>
            <w:tcW w:type="dxa" w:w="1224"/>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LightGBM</w:t>
            </w:r>
          </w:p>
        </w:tc>
        <w:tc>
          <w:tcPr>
            <w:tcW w:type="dxa" w:w="1541"/>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Reported 96.2% multimodal and 78.8% EMG-only; test-participant assignment incomplete in reviewed notes.</w:t>
            </w:r>
          </w:p>
        </w:tc>
      </w:tr>
      <w:tr>
        <w:trPr>
          <w:cantSplit/>
          <w:cantSplit/>
        </w:trPr>
        <w:tc>
          <w:tcPr>
            <w:tcW w:type="dxa" w:w="1368"/>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[14] Mu et al. (2024)</w:t>
            </w:r>
          </w:p>
        </w:tc>
        <w:tc>
          <w:tcPr>
            <w:tcW w:type="dxa" w:w="1512"/>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Cycle ergometry; 80 participants</w:t>
            </w:r>
          </w:p>
        </w:tc>
        <w:tc>
          <w:tcPr>
            <w:tcW w:type="dxa" w:w="1944"/>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Protocol/time and anaerobic-threshold criteria</w:t>
            </w:r>
          </w:p>
        </w:tc>
        <w:tc>
          <w:tcPr>
            <w:tcW w:type="dxa" w:w="1584"/>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sEMG+accelerometry; attention CNN</w:t>
            </w:r>
          </w:p>
        </w:tc>
        <w:tc>
          <w:tcPr>
            <w:tcW w:type="dxa" w:w="1224"/>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CNN with attention</w:t>
            </w:r>
          </w:p>
        </w:tc>
        <w:tc>
          <w:tcPr>
            <w:tcW w:type="dxa" w:w="1541"/>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Reported accuracy 92.3–92.52% and F1 91.92–92.29%; grouping unit unclear in reviewed notes.</w:t>
            </w:r>
          </w:p>
        </w:tc>
      </w:tr>
      <w:tr>
        <w:trPr>
          <w:cantSplit/>
          <w:cantSplit/>
        </w:trPr>
        <w:tc>
          <w:tcPr>
            <w:tcW w:type="dxa" w:w="1368"/>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[15] Zhang et al. (2024)</w:t>
            </w:r>
          </w:p>
        </w:tc>
        <w:tc>
          <w:tcPr>
            <w:tcW w:type="dxa" w:w="1512"/>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Lower-limb FES-sEMG; 5 participants</w:t>
            </w:r>
          </w:p>
        </w:tc>
        <w:tc>
          <w:tcPr>
            <w:tcW w:type="dxa" w:w="1944"/>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Borg-based states</w:t>
            </w:r>
          </w:p>
        </w:tc>
        <w:tc>
          <w:tcPr>
            <w:tcW w:type="dxa" w:w="1584"/>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500 ms STFT/CWT/HHT image features; CNN/LSTM</w:t>
            </w:r>
          </w:p>
        </w:tc>
        <w:tc>
          <w:tcPr>
            <w:tcW w:type="dxa" w:w="1224"/>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CNN/LSTM</w:t>
            </w:r>
          </w:p>
        </w:tc>
        <w:tc>
          <w:tcPr>
            <w:tcW w:type="dxa" w:w="1541"/>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HHT class F1 0.911, 0.884 and 0.876; random-window 8:1:1 does not establish participant independence.</w:t>
            </w:r>
          </w:p>
        </w:tc>
      </w:tr>
      <w:tr>
        <w:trPr>
          <w:cantSplit/>
          <w:cantSplit/>
        </w:trPr>
        <w:tc>
          <w:tcPr>
            <w:tcW w:type="dxa" w:w="1368"/>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[23] Hwang et al. (2025)</w:t>
            </w:r>
          </w:p>
        </w:tc>
        <w:tc>
          <w:tcPr>
            <w:tcW w:type="dxa" w:w="1512"/>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Gait after step-ups; 35 adults</w:t>
            </w:r>
          </w:p>
        </w:tc>
        <w:tc>
          <w:tcPr>
            <w:tcW w:type="dxa" w:w="1944"/>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RPE ≥17 protocol endpoint</w:t>
            </w:r>
          </w:p>
        </w:tc>
        <w:tc>
          <w:tcPr>
            <w:tcW w:type="dxa" w:w="1584"/>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sEMG and IMU; CNN-LSTM-attention</w:t>
            </w:r>
          </w:p>
        </w:tc>
        <w:tc>
          <w:tcPr>
            <w:tcW w:type="dxa" w:w="1224"/>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Fusion and sEMG-only</w:t>
            </w:r>
          </w:p>
        </w:tc>
        <w:tc>
          <w:tcPr>
            <w:tcW w:type="dxa" w:w="1541"/>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LOSO reported; estimates RPE/protocol fatigue, not local physiological events.</w:t>
            </w:r>
          </w:p>
        </w:tc>
      </w:tr>
      <w:tr>
        <w:trPr>
          <w:cantSplit/>
          <w:cantSplit/>
        </w:trPr>
        <w:tc>
          <w:tcPr>
            <w:tcW w:type="dxa" w:w="1368"/>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[25] Huh et al. (2026)</w:t>
            </w:r>
          </w:p>
        </w:tc>
        <w:tc>
          <w:tcPr>
            <w:tcW w:type="dxa" w:w="1512"/>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Preacher curls over five days; 17 adults</w:t>
            </w:r>
          </w:p>
        </w:tc>
        <w:tc>
          <w:tcPr>
            <w:tcW w:type="dxa" w:w="1944"/>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Normalized onset/progression proxy</w:t>
            </w:r>
          </w:p>
        </w:tc>
        <w:tc>
          <w:tcPr>
            <w:tcW w:type="dxa" w:w="1584"/>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sEMG e-tattoo and BH-IEEMD processing</w:t>
            </w:r>
          </w:p>
        </w:tc>
        <w:tc>
          <w:tcPr>
            <w:tcW w:type="dxa" w:w="1224"/>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Progression estimator</w:t>
            </w:r>
          </w:p>
        </w:tc>
        <w:tc>
          <w:tcPr>
            <w:tcW w:type="dxa" w:w="1541"/>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LOSO with per-person/day calibration; not an independent fatigue ground truth.</w:t>
            </w:r>
          </w:p>
        </w:tc>
      </w:tr>
      <w:tr>
        <w:trPr>
          <w:cantSplit/>
          <w:cantSplit/>
        </w:trPr>
        <w:tc>
          <w:tcPr>
            <w:tcW w:type="dxa" w:w="1368"/>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[26] Zhai et al. (2026)</w:t>
            </w:r>
          </w:p>
        </w:tc>
        <w:tc>
          <w:tcPr>
            <w:tcW w:type="dxa" w:w="1512"/>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30 s sprint; elite cyclists</w:t>
            </w:r>
          </w:p>
        </w:tc>
        <w:tc>
          <w:tcPr>
            <w:tcW w:type="dxa" w:w="1944"/>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Relative power-drop target</w:t>
            </w:r>
          </w:p>
        </w:tc>
        <w:tc>
          <w:tcPr>
            <w:tcW w:type="dxa" w:w="1584"/>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sEMG deep CNN-BiLSTM-attention</w:t>
            </w:r>
          </w:p>
        </w:tc>
        <w:tc>
          <w:tcPr>
            <w:tcW w:type="dxa" w:w="1224"/>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Continuous estimator</w:t>
            </w:r>
          </w:p>
        </w:tc>
        <w:tc>
          <w:tcPr>
            <w:tcW w:type="dxa" w:w="1541"/>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Reported MAE 0.048±0.019, R² 0.493±0.249 and r 0.822±0.123; calibration used held-out-person windows.</w:t>
            </w:r>
          </w:p>
        </w:tc>
      </w:tr>
      <w:tr>
        <w:trPr>
          <w:cantSplit/>
          <w:cantSplit/>
        </w:trPr>
        <w:tc>
          <w:tcPr>
            <w:tcW w:type="dxa" w:w="1368"/>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[34] da Silva et al. (2008)</w:t>
            </w:r>
          </w:p>
        </w:tc>
        <w:tc>
          <w:tcPr>
            <w:tcW w:type="dxa" w:w="1512"/>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Dynamic trunk flexion/extension to exhaustion</w:t>
            </w:r>
          </w:p>
        </w:tc>
        <w:tc>
          <w:tcPr>
            <w:tcW w:type="dxa" w:w="1944"/>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Protocol-defined exhaustion</w:t>
            </w:r>
          </w:p>
        </w:tc>
        <w:tc>
          <w:tcPr>
            <w:tcW w:type="dxa" w:w="1584"/>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Fourier vs. wavelet EMG indices</w:t>
            </w:r>
          </w:p>
        </w:tc>
        <w:tc>
          <w:tcPr>
            <w:tcW w:type="dxa" w:w="1224"/>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Validity/reliability comparison</w:t>
            </w:r>
          </w:p>
        </w:tc>
        <w:tc>
          <w:tcPr>
            <w:tcW w:type="dxa" w:w="1541"/>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Reported correlations 0.06–0.68 and ICC 0.00–0.88; dynamic indices showed variable validity/reliability.</w:t>
            </w:r>
          </w:p>
        </w:tc>
      </w:tr>
    </w:tbl>
    <w:p>
      <w:pPr>
        <w:widowControl/>
        <w:spacing w:before="60" w:after="100"/>
      </w:pPr>
      <w:r>
        <w:rPr>
          <w:rFonts w:ascii="Arial" w:hAnsi="Arial"/>
          <w:color w:val="222222"/>
          <w:sz w:val="18"/>
        </w:rPr>
        <w:t>The literature compares protocol-defined fatigue, exertion, mechanical power loss and temporal progression using different sensors and validation designs. Studies include EMG feature classifiers and dynamic tasks [2]–[4], cycling or multimodal exertion labels [5]–[7], simulated fatigue and human–robot applications [8]–[10], wearable systems and sensor fusion [11]–[16], dynamic gripping, recovery and multimodal classifiers [17]–[24], and multi-day or continuous progression estimates [25]–[27]. The comparative table records target, population, features, model, validation and comparability limits. Published scores cannot be ranked directly against this study because its labels are file-time thirds, not independent force, Borg, power, threshold or fatigue-event labels [18], [27], [33].</w:t>
      </w:r>
    </w:p>
    <w:p>
      <w:pPr>
        <w:pageBreakBefore w:val="0"/>
        <w:spacing w:after="160" w:before="0"/>
        <w:jc w:val="both"/>
      </w:pPr>
    </w:p>
    <w:p>
      <w:pPr>
        <w:pStyle w:val="Heading2"/>
        <w:keepNext/>
        <w:pageBreakBefore w:val="0"/>
        <w:spacing w:before="200" w:after="120"/>
      </w:pPr>
      <w:r>
        <w:rPr>
          <w:rFonts w:ascii="Arial" w:hAnsi="Arial"/>
          <w:b/>
          <w:color w:val="1F3B63"/>
          <w:sz w:val="25"/>
        </w:rPr>
        <w:t>1.4  Gap and contribution</w:t>
      </w:r>
    </w:p>
    <w:p>
      <w:pPr>
        <w:pageBreakBefore w:val="0"/>
        <w:widowControl/>
        <w:spacing w:after="40"/>
      </w:pPr>
      <w:r>
        <w:t>This work does not claim a new fatigue detector. Its contribution is a traceable quality audit, mathematical comparison of five digital filter branches, grouped nested evaluation of a time-position proxy, post hoc left/right and R1–R5 summaries, and a cautious analysis of RMS/MDF/MNF trends. Stratification uses already frozen out-of-fold predictions and does not reselect models by side or series. Neither the side comparison nor the signal trends establish physiological asymmetry.</w:t>
      </w:r>
    </w:p>
    <w:p>
      <w:pPr>
        <w:pageBreakBefore w:val="0"/>
        <w:spacing w:after="40"/>
      </w:pPr>
    </w:p>
    <w:p>
      <w:pPr>
        <w:pageBreakBefore w:val="0"/>
        <w:spacing w:after="40"/>
      </w:pPr>
    </w:p>
    <w:p>
      <w:pPr>
        <w:pageBreakBefore w:val="0"/>
        <w:spacing w:after="120" w:before="0"/>
        <w:jc w:val="both"/>
      </w:pPr>
    </w:p>
    <w:p>
      <w:pPr>
        <w:pStyle w:val="Heading1"/>
        <w:keepNext/>
        <w:pageBreakBefore w:val="0"/>
        <w:spacing w:before="280" w:after="120"/>
      </w:pPr>
      <w:r>
        <w:rPr>
          <w:rFonts w:ascii="Arial" w:hAnsi="Arial"/>
          <w:b/>
          <w:color w:val="1F3B63"/>
          <w:sz w:val="30"/>
        </w:rPr>
        <w:t>2.  Dataset and acquisition</w:t>
      </w:r>
    </w:p>
    <w:p>
      <w:pPr>
        <w:pStyle w:val="Heading2"/>
        <w:keepNext/>
        <w:pageBreakBefore w:val="0"/>
        <w:spacing w:before="200" w:after="120"/>
      </w:pPr>
      <w:r>
        <w:rPr>
          <w:rFonts w:ascii="Arial" w:hAnsi="Arial"/>
          <w:b/>
          <w:color w:val="1F3B63"/>
          <w:sz w:val="25"/>
        </w:rPr>
        <w:t>2.1  Protocol as executed</w:t>
      </w:r>
    </w:p>
    <w:p>
      <w:pPr>
        <w:pageBreakBefore w:val="0"/>
        <w:widowControl/>
        <w:spacing w:after="40"/>
      </w:pPr>
      <w:r>
        <w:t>The audit covered 140 local files with 4,256,257 samples and 15 participant groups inferred from recording identifiers. The naming convention was confirmed by the user: iz denotes left, dr denotes right, and R1–R5 are the five series; R0/R0_1 are preliminary/noisy or anomalous takes reserved for QC. The eligible benchmark contained 138 R1–R5 files (70 left, 68 right) and 414 equal-time-third segments. The participant spreadsheet was not opened or used. Hardware, electrode site, muscle identity, analog chain, MVC, load, cadence, rests, physical calibration and per-recording repetition count remain unavailable. The column called Voltage_mV is an algebraic transformation of ADC counts and is not a verified electrode-voltage calibration.</w:t>
      </w:r>
    </w:p>
    <w:p>
      <w:pPr>
        <w:pageBreakBefore w:val="0"/>
        <w:spacing w:after="40"/>
      </w:pPr>
    </w:p>
    <w:p>
      <w:pPr>
        <w:pageBreakBefore w:val="0"/>
        <w:spacing w:after="40"/>
      </w:pPr>
    </w:p>
    <w:p>
      <w:pPr>
        <w:pageBreakBefore w:val="0"/>
        <w:spacing w:after="40"/>
      </w:pPr>
    </w:p>
    <w:p>
      <w:pPr>
        <w:pageBreakBefore w:val="0"/>
        <w:spacing w:after="40"/>
      </w:pPr>
    </w:p>
    <w:p>
      <w:pPr>
        <w:pageBreakBefore w:val="0"/>
        <w:spacing w:after="120" w:before="0"/>
        <w:jc w:val="both"/>
      </w:pPr>
    </w:p>
    <w:p>
      <w:pPr>
        <w:pStyle w:val="Heading2"/>
        <w:keepNext/>
        <w:pageBreakBefore w:val="0"/>
        <w:spacing w:before="200" w:after="120"/>
      </w:pPr>
      <w:r>
        <w:rPr>
          <w:rFonts w:ascii="Arial" w:hAnsi="Arial"/>
          <w:b/>
          <w:color w:val="1F3B63"/>
          <w:sz w:val="25"/>
        </w:rPr>
        <w:t>2.2  Participants</w:t>
      </w:r>
    </w:p>
    <w:p>
      <w:pPr>
        <w:spacing w:before="140" w:after="60"/>
      </w:pPr>
      <w:r>
        <w:rPr>
          <w:rFonts w:ascii="Arial" w:hAnsi="Arial"/>
          <w:b/>
          <w:color w:val="1F3B63"/>
          <w:sz w:val="18"/>
        </w:rPr>
        <w:t>TABLE II. AUDITED LOCAL DATASET AND ANALYSIS COVERAGE</w:t>
      </w:r>
    </w:p>
    <w:tbl>
      <w:tblPr>
        <w:tblStyle w:val="TableGrid"/>
        <w:tblW w:type="auto" w:w="0"/>
        <w:tblLook w:firstColumn="1" w:firstRow="1" w:lastColumn="0" w:lastRow="0" w:noHBand="0" w:noVBand="1" w:val="04A0"/>
        <w:jc w:val="center"/>
        <w:tblBorders>
          <w:top w:val="single" w:sz="4" w:space="0" w:color="9AA7B5"/>
          <w:left w:val="single" w:sz="4" w:space="0" w:color="9AA7B5"/>
          <w:bottom w:val="single" w:sz="4" w:space="0" w:color="9AA7B5"/>
          <w:right w:val="single" w:sz="4" w:space="0" w:color="9AA7B5"/>
          <w:insideH w:val="single" w:sz="4" w:space="0" w:color="9AA7B5"/>
          <w:insideV w:val="single" w:sz="4" w:space="0" w:color="9AA7B5"/>
        </w:tblBorders>
        <w:tblLayout w:type="autofit"/>
      </w:tblPr>
      <w:tblGrid>
        <w:gridCol w:w="3384"/>
        <w:gridCol w:w="3096"/>
        <w:gridCol w:w="2693"/>
      </w:tblGrid>
      <w:tr>
        <w:trPr>
          <w:tblHeader w:val="true"/>
          <w:cantSplit/>
          <w:tblHeader/>
        </w:trPr>
        <w:tc>
          <w:tcPr>
            <w:tcW w:type="dxa" w:w="3384"/>
            <w:shd w:val="clear" w:color="auto" w:fill="1F3B63"/>
            <w:tcMar>
              <w:top w:w="90" w:type="dxa"/>
              <w:start w:w="95" w:type="dxa"/>
              <w:bottom w:w="90" w:type="dxa"/>
              <w:end w:w="95" w:type="dxa"/>
            </w:tcMar>
            <w:vAlign w:val="center"/>
          </w:tcPr>
          <w:p>
            <w:pPr>
              <w:spacing w:after="20" w:before="20" w:line="240" w:lineRule="auto"/>
              <w:jc w:val="center"/>
            </w:pPr>
            <w:r>
              <w:rPr>
                <w:rFonts w:ascii="Arial" w:hAnsi="Arial"/>
                <w:b/>
                <w:color w:val="FFFFFF"/>
                <w:sz w:val="16"/>
              </w:rPr>
              <w:t>Variable</w:t>
            </w:r>
          </w:p>
        </w:tc>
        <w:tc>
          <w:tcPr>
            <w:tcW w:type="dxa" w:w="3096"/>
            <w:shd w:val="clear" w:color="auto" w:fill="1F3B63"/>
            <w:tcMar>
              <w:top w:w="90" w:type="dxa"/>
              <w:start w:w="95" w:type="dxa"/>
              <w:bottom w:w="90" w:type="dxa"/>
              <w:end w:w="95" w:type="dxa"/>
            </w:tcMar>
            <w:vAlign w:val="center"/>
          </w:tcPr>
          <w:p>
            <w:pPr>
              <w:spacing w:after="20" w:before="20" w:line="240" w:lineRule="auto"/>
              <w:jc w:val="center"/>
            </w:pPr>
            <w:r>
              <w:rPr>
                <w:rFonts w:ascii="Arial" w:hAnsi="Arial"/>
                <w:b/>
                <w:color w:val="FFFFFF"/>
                <w:sz w:val="16"/>
              </w:rPr>
              <w:t>Count / summary</w:t>
            </w:r>
          </w:p>
        </w:tc>
        <w:tc>
          <w:tcPr>
            <w:tcW w:type="dxa" w:w="2693"/>
            <w:shd w:val="clear" w:color="auto" w:fill="1F3B63"/>
            <w:tcMar>
              <w:top w:w="90" w:type="dxa"/>
              <w:start w:w="95" w:type="dxa"/>
              <w:bottom w:w="90" w:type="dxa"/>
              <w:end w:w="95" w:type="dxa"/>
            </w:tcMar>
            <w:vAlign w:val="center"/>
          </w:tcPr>
          <w:p>
            <w:pPr>
              <w:spacing w:after="20" w:before="20" w:line="240" w:lineRule="auto"/>
              <w:jc w:val="center"/>
            </w:pPr>
            <w:r>
              <w:rPr>
                <w:rFonts w:ascii="Arial" w:hAnsi="Arial"/>
                <w:b/>
                <w:color w:val="FFFFFF"/>
                <w:sz w:val="16"/>
              </w:rPr>
              <w:t>Range / note</w:t>
            </w:r>
          </w:p>
        </w:tc>
      </w:tr>
      <w:tr>
        <w:trPr>
          <w:cantSplit/>
          <w:cantSplit/>
        </w:trPr>
        <w:tc>
          <w:tcPr>
            <w:tcW w:type="dxa" w:w="3384"/>
            <w:tcMar>
              <w:top w:w="90" w:type="dxa"/>
              <w:start w:w="95" w:type="dxa"/>
              <w:bottom w:w="90" w:type="dxa"/>
              <w:end w:w="95" w:type="dxa"/>
            </w:tcMar>
            <w:vAlign w:val="center"/>
            <w:shd w:fill="FFFFFF"/>
          </w:tcPr>
          <w:p>
            <w:pPr>
              <w:spacing w:after="20" w:before="20" w:line="240" w:lineRule="auto"/>
            </w:pPr>
            <w:r>
              <w:rPr>
                <w:rFonts w:ascii="Arial" w:hAnsi="Arial"/>
                <w:b w:val="0"/>
                <w:color w:val="222222"/>
                <w:sz w:val="16"/>
              </w:rPr>
              <w:t>Recording-derived participant groups</w:t>
            </w:r>
          </w:p>
        </w:tc>
        <w:tc>
          <w:tcPr>
            <w:tcW w:type="dxa" w:w="3096"/>
            <w:tcMar>
              <w:top w:w="90" w:type="dxa"/>
              <w:start w:w="95" w:type="dxa"/>
              <w:bottom w:w="90" w:type="dxa"/>
              <w:end w:w="95" w:type="dxa"/>
            </w:tcMar>
            <w:vAlign w:val="center"/>
            <w:shd w:fill="FFFFFF"/>
          </w:tcPr>
          <w:p>
            <w:pPr>
              <w:spacing w:after="20" w:before="20" w:line="240" w:lineRule="auto"/>
              <w:jc w:val="center"/>
            </w:pPr>
            <w:r>
              <w:rPr>
                <w:rFonts w:ascii="Arial" w:hAnsi="Arial"/>
                <w:b w:val="0"/>
                <w:color w:val="222222"/>
                <w:sz w:val="16"/>
              </w:rPr>
              <w:t>15</w:t>
            </w:r>
          </w:p>
        </w:tc>
        <w:tc>
          <w:tcPr>
            <w:tcW w:type="dxa" w:w="2693"/>
            <w:tcMar>
              <w:top w:w="90" w:type="dxa"/>
              <w:start w:w="95" w:type="dxa"/>
              <w:bottom w:w="90" w:type="dxa"/>
              <w:end w:w="95" w:type="dxa"/>
            </w:tcMar>
            <w:vAlign w:val="center"/>
            <w:shd w:fill="FFFFFF"/>
          </w:tcPr>
          <w:p>
            <w:pPr>
              <w:spacing w:after="20" w:before="20" w:line="240" w:lineRule="auto"/>
            </w:pPr>
            <w:r>
              <w:rPr>
                <w:rFonts w:ascii="Arial" w:hAnsi="Arial"/>
                <w:b w:val="0"/>
                <w:color w:val="222222"/>
                <w:sz w:val="16"/>
              </w:rPr>
              <w:t>Codes only; no demographic CSV used</w:t>
            </w:r>
          </w:p>
        </w:tc>
      </w:tr>
      <w:tr>
        <w:trPr>
          <w:cantSplit/>
          <w:cantSplit/>
        </w:trPr>
        <w:tc>
          <w:tcPr>
            <w:tcW w:type="dxa" w:w="3384"/>
            <w:tcMar>
              <w:top w:w="90" w:type="dxa"/>
              <w:start w:w="95" w:type="dxa"/>
              <w:bottom w:w="90" w:type="dxa"/>
              <w:end w:w="95" w:type="dxa"/>
            </w:tcMar>
            <w:vAlign w:val="center"/>
            <w:shd w:fill="EAF0F6"/>
          </w:tcPr>
          <w:p>
            <w:pPr>
              <w:spacing w:after="20" w:before="20" w:line="240" w:lineRule="auto"/>
            </w:pPr>
            <w:r>
              <w:rPr>
                <w:rFonts w:ascii="Arial" w:hAnsi="Arial"/>
                <w:b w:val="0"/>
                <w:color w:val="222222"/>
                <w:sz w:val="16"/>
              </w:rPr>
              <w:t>Local EMG files audited</w:t>
            </w:r>
          </w:p>
        </w:tc>
        <w:tc>
          <w:tcPr>
            <w:tcW w:type="dxa" w:w="3096"/>
            <w:tcMar>
              <w:top w:w="90" w:type="dxa"/>
              <w:start w:w="95" w:type="dxa"/>
              <w:bottom w:w="90" w:type="dxa"/>
              <w:end w:w="95" w:type="dxa"/>
            </w:tcMar>
            <w:vAlign w:val="center"/>
            <w:shd w:fill="EAF0F6"/>
          </w:tcPr>
          <w:p>
            <w:pPr>
              <w:spacing w:after="20" w:before="20" w:line="240" w:lineRule="auto"/>
              <w:jc w:val="center"/>
            </w:pPr>
            <w:r>
              <w:rPr>
                <w:rFonts w:ascii="Arial" w:hAnsi="Arial"/>
                <w:b w:val="0"/>
                <w:color w:val="222222"/>
                <w:sz w:val="16"/>
              </w:rPr>
              <w:t>140</w:t>
            </w:r>
          </w:p>
        </w:tc>
        <w:tc>
          <w:tcPr>
            <w:tcW w:type="dxa" w:w="2693"/>
            <w:tcMar>
              <w:top w:w="90" w:type="dxa"/>
              <w:start w:w="95" w:type="dxa"/>
              <w:bottom w:w="90" w:type="dxa"/>
              <w:end w:w="95" w:type="dxa"/>
            </w:tcMar>
            <w:vAlign w:val="center"/>
            <w:shd w:fill="EAF0F6"/>
          </w:tcPr>
          <w:p>
            <w:pPr>
              <w:spacing w:after="20" w:before="20" w:line="240" w:lineRule="auto"/>
            </w:pPr>
            <w:r>
              <w:rPr>
                <w:rFonts w:ascii="Arial" w:hAnsi="Arial"/>
                <w:b w:val="0"/>
                <w:color w:val="222222"/>
                <w:sz w:val="16"/>
              </w:rPr>
              <w:t>4,256,257 samples in total</w:t>
            </w:r>
          </w:p>
        </w:tc>
      </w:tr>
      <w:tr>
        <w:trPr>
          <w:cantSplit/>
          <w:cantSplit/>
        </w:trPr>
        <w:tc>
          <w:tcPr>
            <w:tcW w:type="dxa" w:w="3384"/>
            <w:tcMar>
              <w:top w:w="90" w:type="dxa"/>
              <w:start w:w="95" w:type="dxa"/>
              <w:bottom w:w="90" w:type="dxa"/>
              <w:end w:w="95" w:type="dxa"/>
            </w:tcMar>
            <w:vAlign w:val="center"/>
            <w:shd w:fill="FFFFFF"/>
          </w:tcPr>
          <w:p>
            <w:pPr>
              <w:spacing w:after="20" w:before="20" w:line="240" w:lineRule="auto"/>
            </w:pPr>
            <w:r>
              <w:rPr>
                <w:rFonts w:ascii="Arial" w:hAnsi="Arial"/>
                <w:b w:val="0"/>
                <w:color w:val="222222"/>
                <w:sz w:val="16"/>
              </w:rPr>
              <w:t>R1–R5 benchmark recordings</w:t>
            </w:r>
          </w:p>
        </w:tc>
        <w:tc>
          <w:tcPr>
            <w:tcW w:type="dxa" w:w="3096"/>
            <w:tcMar>
              <w:top w:w="90" w:type="dxa"/>
              <w:start w:w="95" w:type="dxa"/>
              <w:bottom w:w="90" w:type="dxa"/>
              <w:end w:w="95" w:type="dxa"/>
            </w:tcMar>
            <w:vAlign w:val="center"/>
            <w:shd w:fill="FFFFFF"/>
          </w:tcPr>
          <w:p>
            <w:pPr>
              <w:spacing w:after="20" w:before="20" w:line="240" w:lineRule="auto"/>
              <w:jc w:val="center"/>
            </w:pPr>
            <w:r>
              <w:rPr>
                <w:rFonts w:ascii="Arial" w:hAnsi="Arial"/>
                <w:b w:val="0"/>
                <w:color w:val="222222"/>
                <w:sz w:val="16"/>
              </w:rPr>
              <w:t>138</w:t>
            </w:r>
          </w:p>
        </w:tc>
        <w:tc>
          <w:tcPr>
            <w:tcW w:type="dxa" w:w="2693"/>
            <w:tcMar>
              <w:top w:w="90" w:type="dxa"/>
              <w:start w:w="95" w:type="dxa"/>
              <w:bottom w:w="90" w:type="dxa"/>
              <w:end w:w="95" w:type="dxa"/>
            </w:tcMar>
            <w:vAlign w:val="center"/>
            <w:shd w:fill="FFFFFF"/>
          </w:tcPr>
          <w:p>
            <w:pPr>
              <w:spacing w:after="20" w:before="20" w:line="240" w:lineRule="auto"/>
            </w:pPr>
            <w:r>
              <w:rPr>
                <w:rFonts w:ascii="Arial" w:hAnsi="Arial"/>
                <w:b w:val="0"/>
                <w:color w:val="222222"/>
                <w:sz w:val="16"/>
              </w:rPr>
              <w:t>70 left; 68 right</w:t>
            </w:r>
          </w:p>
        </w:tc>
      </w:tr>
      <w:tr>
        <w:trPr>
          <w:cantSplit/>
          <w:cantSplit/>
        </w:trPr>
        <w:tc>
          <w:tcPr>
            <w:tcW w:type="dxa" w:w="3384"/>
            <w:tcMar>
              <w:top w:w="90" w:type="dxa"/>
              <w:start w:w="95" w:type="dxa"/>
              <w:bottom w:w="90" w:type="dxa"/>
              <w:end w:w="95" w:type="dxa"/>
            </w:tcMar>
            <w:vAlign w:val="center"/>
            <w:shd w:fill="EAF0F6"/>
          </w:tcPr>
          <w:p>
            <w:pPr>
              <w:spacing w:after="20" w:before="20" w:line="240" w:lineRule="auto"/>
            </w:pPr>
            <w:r>
              <w:rPr>
                <w:rFonts w:ascii="Arial" w:hAnsi="Arial"/>
                <w:b w:val="0"/>
                <w:color w:val="222222"/>
                <w:sz w:val="16"/>
              </w:rPr>
              <w:t>Temporal-proxy segments</w:t>
            </w:r>
          </w:p>
        </w:tc>
        <w:tc>
          <w:tcPr>
            <w:tcW w:type="dxa" w:w="3096"/>
            <w:tcMar>
              <w:top w:w="90" w:type="dxa"/>
              <w:start w:w="95" w:type="dxa"/>
              <w:bottom w:w="90" w:type="dxa"/>
              <w:end w:w="95" w:type="dxa"/>
            </w:tcMar>
            <w:vAlign w:val="center"/>
            <w:shd w:fill="EAF0F6"/>
          </w:tcPr>
          <w:p>
            <w:pPr>
              <w:spacing w:after="20" w:before="20" w:line="240" w:lineRule="auto"/>
              <w:jc w:val="center"/>
            </w:pPr>
            <w:r>
              <w:rPr>
                <w:rFonts w:ascii="Arial" w:hAnsi="Arial"/>
                <w:b w:val="0"/>
                <w:color w:val="222222"/>
                <w:sz w:val="16"/>
              </w:rPr>
              <w:t>414</w:t>
            </w:r>
          </w:p>
        </w:tc>
        <w:tc>
          <w:tcPr>
            <w:tcW w:type="dxa" w:w="2693"/>
            <w:tcMar>
              <w:top w:w="90" w:type="dxa"/>
              <w:start w:w="95" w:type="dxa"/>
              <w:bottom w:w="90" w:type="dxa"/>
              <w:end w:w="95" w:type="dxa"/>
            </w:tcMar>
            <w:vAlign w:val="center"/>
            <w:shd w:fill="EAF0F6"/>
          </w:tcPr>
          <w:p>
            <w:pPr>
              <w:spacing w:after="20" w:before="20" w:line="240" w:lineRule="auto"/>
            </w:pPr>
            <w:r>
              <w:rPr>
                <w:rFonts w:ascii="Arial" w:hAnsi="Arial"/>
                <w:b w:val="0"/>
                <w:color w:val="222222"/>
                <w:sz w:val="16"/>
              </w:rPr>
              <w:t>138 early, 138 middle, 138 late</w:t>
            </w:r>
          </w:p>
        </w:tc>
      </w:tr>
      <w:tr>
        <w:trPr>
          <w:cantSplit/>
          <w:cantSplit/>
        </w:trPr>
        <w:tc>
          <w:tcPr>
            <w:tcW w:type="dxa" w:w="3384"/>
            <w:tcMar>
              <w:top w:w="90" w:type="dxa"/>
              <w:start w:w="95" w:type="dxa"/>
              <w:bottom w:w="90" w:type="dxa"/>
              <w:end w:w="95" w:type="dxa"/>
            </w:tcMar>
            <w:vAlign w:val="center"/>
            <w:shd w:fill="FFFFFF"/>
          </w:tcPr>
          <w:p>
            <w:pPr>
              <w:spacing w:after="20" w:before="20" w:line="240" w:lineRule="auto"/>
            </w:pPr>
            <w:r>
              <w:rPr>
                <w:rFonts w:ascii="Arial" w:hAnsi="Arial"/>
                <w:b w:val="0"/>
                <w:color w:val="222222"/>
                <w:sz w:val="16"/>
              </w:rPr>
              <w:t>R0 / R0_1 quality-control files</w:t>
            </w:r>
          </w:p>
        </w:tc>
        <w:tc>
          <w:tcPr>
            <w:tcW w:type="dxa" w:w="3096"/>
            <w:tcMar>
              <w:top w:w="90" w:type="dxa"/>
              <w:start w:w="95" w:type="dxa"/>
              <w:bottom w:w="90" w:type="dxa"/>
              <w:end w:w="95" w:type="dxa"/>
            </w:tcMar>
            <w:vAlign w:val="center"/>
            <w:shd w:fill="FFFFFF"/>
          </w:tcPr>
          <w:p>
            <w:pPr>
              <w:spacing w:after="20" w:before="20" w:line="240" w:lineRule="auto"/>
              <w:jc w:val="center"/>
            </w:pPr>
            <w:r>
              <w:rPr>
                <w:rFonts w:ascii="Arial" w:hAnsi="Arial"/>
                <w:b w:val="0"/>
                <w:color w:val="222222"/>
                <w:sz w:val="16"/>
              </w:rPr>
              <w:t>2</w:t>
            </w:r>
          </w:p>
        </w:tc>
        <w:tc>
          <w:tcPr>
            <w:tcW w:type="dxa" w:w="2693"/>
            <w:tcMar>
              <w:top w:w="90" w:type="dxa"/>
              <w:start w:w="95" w:type="dxa"/>
              <w:bottom w:w="90" w:type="dxa"/>
              <w:end w:w="95" w:type="dxa"/>
            </w:tcMar>
            <w:vAlign w:val="center"/>
            <w:shd w:fill="FFFFFF"/>
          </w:tcPr>
          <w:p>
            <w:pPr>
              <w:spacing w:after="20" w:before="20" w:line="240" w:lineRule="auto"/>
            </w:pPr>
            <w:r>
              <w:rPr>
                <w:rFonts w:ascii="Arial" w:hAnsi="Arial"/>
                <w:b w:val="0"/>
                <w:color w:val="222222"/>
                <w:sz w:val="16"/>
              </w:rPr>
              <w:t>QC only; not model training</w:t>
            </w:r>
          </w:p>
        </w:tc>
      </w:tr>
      <w:tr>
        <w:trPr>
          <w:cantSplit/>
          <w:cantSplit/>
        </w:trPr>
        <w:tc>
          <w:tcPr>
            <w:tcW w:type="dxa" w:w="3384"/>
            <w:tcMar>
              <w:top w:w="90" w:type="dxa"/>
              <w:start w:w="95" w:type="dxa"/>
              <w:bottom w:w="90" w:type="dxa"/>
              <w:end w:w="95" w:type="dxa"/>
            </w:tcMar>
            <w:vAlign w:val="center"/>
            <w:shd w:fill="EAF0F6"/>
          </w:tcPr>
          <w:p>
            <w:pPr>
              <w:spacing w:after="20" w:before="20" w:line="240" w:lineRule="auto"/>
            </w:pPr>
            <w:r>
              <w:rPr>
                <w:rFonts w:ascii="Arial" w:hAnsi="Arial"/>
                <w:b w:val="0"/>
                <w:color w:val="222222"/>
                <w:sz w:val="16"/>
              </w:rPr>
              <w:t>Demographics / body mass / height</w:t>
            </w:r>
          </w:p>
        </w:tc>
        <w:tc>
          <w:tcPr>
            <w:tcW w:type="dxa" w:w="3096"/>
            <w:tcMar>
              <w:top w:w="90" w:type="dxa"/>
              <w:start w:w="95" w:type="dxa"/>
              <w:bottom w:w="90" w:type="dxa"/>
              <w:end w:w="95" w:type="dxa"/>
            </w:tcMar>
            <w:vAlign w:val="center"/>
            <w:shd w:fill="EAF0F6"/>
          </w:tcPr>
          <w:p>
            <w:pPr>
              <w:spacing w:after="20" w:before="20" w:line="240" w:lineRule="auto"/>
              <w:jc w:val="center"/>
            </w:pPr>
            <w:r>
              <w:rPr>
                <w:rFonts w:ascii="Arial" w:hAnsi="Arial"/>
                <w:b w:val="0"/>
                <w:color w:val="222222"/>
                <w:sz w:val="16"/>
              </w:rPr>
              <w:t>Not analyzed</w:t>
            </w:r>
          </w:p>
        </w:tc>
        <w:tc>
          <w:tcPr>
            <w:tcW w:type="dxa" w:w="2693"/>
            <w:tcMar>
              <w:top w:w="90" w:type="dxa"/>
              <w:start w:w="95" w:type="dxa"/>
              <w:bottom w:w="90" w:type="dxa"/>
              <w:end w:w="95" w:type="dxa"/>
            </w:tcMar>
            <w:vAlign w:val="center"/>
            <w:shd w:fill="EAF0F6"/>
          </w:tcPr>
          <w:p>
            <w:pPr>
              <w:spacing w:after="20" w:before="20" w:line="240" w:lineRule="auto"/>
            </w:pPr>
            <w:r>
              <w:rPr>
                <w:rFonts w:ascii="Arial" w:hAnsi="Arial"/>
                <w:b w:val="0"/>
                <w:color w:val="222222"/>
                <w:sz w:val="16"/>
              </w:rPr>
              <w:t>participants.csv explicitly excluded</w:t>
            </w:r>
          </w:p>
        </w:tc>
      </w:tr>
      <w:tr>
        <w:trPr>
          <w:cantSplit/>
          <w:cantSplit/>
        </w:trPr>
        <w:tc>
          <w:tcPr>
            <w:tcW w:type="dxa" w:w="3384"/>
            <w:tcMar>
              <w:top w:w="90" w:type="dxa"/>
              <w:start w:w="95" w:type="dxa"/>
              <w:bottom w:w="90" w:type="dxa"/>
              <w:end w:w="95" w:type="dxa"/>
            </w:tcMar>
            <w:vAlign w:val="center"/>
            <w:shd w:fill="FFFFFF"/>
          </w:tcPr>
          <w:p>
            <w:pPr>
              <w:spacing w:after="20" w:before="20" w:line="240" w:lineRule="auto"/>
            </w:pPr>
            <w:r>
              <w:rPr>
                <w:rFonts w:ascii="Arial" w:hAnsi="Arial"/>
                <w:b w:val="0"/>
                <w:color w:val="222222"/>
                <w:sz w:val="16"/>
              </w:rPr>
              <w:t>Task / muscle site / load</w:t>
            </w:r>
          </w:p>
        </w:tc>
        <w:tc>
          <w:tcPr>
            <w:tcW w:type="dxa" w:w="3096"/>
            <w:tcMar>
              <w:top w:w="90" w:type="dxa"/>
              <w:start w:w="95" w:type="dxa"/>
              <w:bottom w:w="90" w:type="dxa"/>
              <w:end w:w="95" w:type="dxa"/>
            </w:tcMar>
            <w:vAlign w:val="center"/>
            <w:shd w:fill="FFFFFF"/>
          </w:tcPr>
          <w:p>
            <w:pPr>
              <w:spacing w:after="20" w:before="20" w:line="240" w:lineRule="auto"/>
              <w:jc w:val="center"/>
            </w:pPr>
            <w:r>
              <w:rPr>
                <w:rFonts w:ascii="Arial" w:hAnsi="Arial"/>
                <w:b w:val="0"/>
                <w:color w:val="222222"/>
                <w:sz w:val="16"/>
              </w:rPr>
              <w:t>Not verified</w:t>
            </w:r>
          </w:p>
        </w:tc>
        <w:tc>
          <w:tcPr>
            <w:tcW w:type="dxa" w:w="2693"/>
            <w:tcMar>
              <w:top w:w="90" w:type="dxa"/>
              <w:start w:w="95" w:type="dxa"/>
              <w:bottom w:w="90" w:type="dxa"/>
              <w:end w:w="95" w:type="dxa"/>
            </w:tcMar>
            <w:vAlign w:val="center"/>
            <w:shd w:fill="FFFFFF"/>
          </w:tcPr>
          <w:p>
            <w:pPr>
              <w:spacing w:after="20" w:before="20" w:line="240" w:lineRule="auto"/>
            </w:pPr>
            <w:r>
              <w:rPr>
                <w:rFonts w:ascii="Arial" w:hAnsi="Arial"/>
                <w:b w:val="0"/>
                <w:color w:val="222222"/>
                <w:sz w:val="16"/>
              </w:rPr>
              <w:t>File-level linkage and acquisition metadata absent</w:t>
            </w:r>
          </w:p>
        </w:tc>
      </w:tr>
    </w:tbl>
    <w:p>
      <w:pPr>
        <w:pageBreakBefore w:val="0"/>
        <w:spacing w:after="160" w:before="0"/>
        <w:jc w:val="both"/>
      </w:pPr>
    </w:p>
    <w:p>
      <w:pPr>
        <w:pStyle w:val="Heading2"/>
        <w:keepNext/>
        <w:pageBreakBefore w:val="0"/>
        <w:spacing w:before="200" w:after="120"/>
      </w:pPr>
      <w:r>
        <w:rPr>
          <w:rFonts w:ascii="Arial" w:hAnsi="Arial"/>
          <w:b/>
          <w:color w:val="1F3B63"/>
          <w:sz w:val="25"/>
        </w:rPr>
        <w:t>2.3  Exclusions</w:t>
      </w:r>
    </w:p>
    <w:p>
      <w:pPr>
        <w:pageBreakBefore w:val="0"/>
        <w:widowControl/>
        <w:spacing w:after="40"/>
      </w:pPr>
      <w:r>
        <w:t>Structural exclusion criteria were non-finite signal or time values, unequal vectors, non-increasing timestamps that could not be split, or unrecoverable corruption. The QC audit found no structural exclusion. Timestamp discontinuities were defined by Δt &gt; max(1.5 ms, 1.5 × median positive Δt) + 1 ns; they were treated as boundaries and not interpolated. No recording was excluded because of model performance. The two R0/R0_1 files were kept for QC and excluded from the benchmark by their recording class.</w:t>
      </w:r>
    </w:p>
    <w:p>
      <w:pPr>
        <w:pageBreakBefore w:val="0"/>
        <w:spacing w:after="40"/>
      </w:pPr>
    </w:p>
    <w:p>
      <w:pPr>
        <w:pageBreakBefore w:val="0"/>
        <w:spacing w:after="40"/>
      </w:pPr>
    </w:p>
    <w:p>
      <w:pPr>
        <w:pageBreakBefore w:val="0"/>
        <w:spacing w:after="120" w:before="0"/>
        <w:jc w:val="both"/>
      </w:pPr>
    </w:p>
    <w:p>
      <w:pPr>
        <w:pStyle w:val="Heading2"/>
        <w:keepNext/>
        <w:pageBreakBefore w:val="0"/>
        <w:spacing w:before="200" w:after="120"/>
      </w:pPr>
      <w:r>
        <w:rPr>
          <w:rFonts w:ascii="Arial" w:hAnsi="Arial"/>
          <w:b/>
          <w:color w:val="1F3B63"/>
          <w:sz w:val="25"/>
        </w:rPr>
        <w:t>2.4  Signal quality assessment</w:t>
      </w:r>
    </w:p>
    <w:p>
      <w:pPr>
        <w:pageBreakBefore w:val="0"/>
        <w:widowControl/>
        <w:spacing w:after="40"/>
      </w:pPr>
      <w:r>
        <w:t>The QC audit found 246 timestamp gaps across 41 files (241 in R1–R5 files and five in the two QC-only files). It recorded 74 large-derivative review flags, which are not diagnoses of movement artifact. No file crossed the predeclared 10 dB 50/60 Hz line-prominence screen, so no notch filter was applied. SNR was not estimated because a clean or resting reference was unavailable. ADC rails were undocumented; saturation therefore could not be confirmed or ruled out. Signal mode (RAW, rectified or envelope), electrode placement and analog acquisition filtering remain unknown.</w:t>
      </w:r>
    </w:p>
    <w:p>
      <w:pPr>
        <w:pageBreakBefore w:val="0"/>
        <w:spacing w:after="40"/>
      </w:pPr>
    </w:p>
    <w:p>
      <w:pPr>
        <w:pageBreakBefore w:val="0"/>
        <w:spacing w:after="40"/>
      </w:pPr>
    </w:p>
    <w:p>
      <w:pPr>
        <w:pageBreakBefore w:val="0"/>
        <w:spacing w:after="120" w:before="0"/>
        <w:jc w:val="both"/>
      </w:pPr>
    </w:p>
    <w:p>
      <w:pPr>
        <w:pStyle w:val="Heading1"/>
        <w:keepNext/>
        <w:pageBreakBefore w:val="0"/>
        <w:spacing w:before="280" w:after="120"/>
      </w:pPr>
      <w:r>
        <w:rPr>
          <w:rFonts w:ascii="Arial" w:hAnsi="Arial"/>
          <w:b/>
          <w:color w:val="1F3B63"/>
          <w:sz w:val="30"/>
        </w:rPr>
        <w:t>3.  Labelling strategy</w:t>
      </w:r>
    </w:p>
    <w:p>
      <w:pPr>
        <w:pStyle w:val="Heading2"/>
        <w:keepNext/>
        <w:pageBreakBefore w:val="0"/>
        <w:spacing w:before="200" w:after="120"/>
      </w:pPr>
      <w:r>
        <w:rPr>
          <w:rFonts w:ascii="Arial" w:hAnsi="Arial"/>
          <w:b/>
          <w:color w:val="1F3B63"/>
          <w:sz w:val="25"/>
        </w:rPr>
        <w:t>3.1  Chosen strategy and justification</w:t>
      </w:r>
    </w:p>
    <w:p>
      <w:pPr>
        <w:pageBreakBefore w:val="0"/>
        <w:widowControl/>
        <w:spacing w:after="40"/>
      </w:pPr>
      <w:r>
        <w:t>The frozen target divides each eligible recording into three equal elapsed-time intervals. Every R1–R5 file yields one early, one middle and one late segment, producing 138 segments per class and 414 total. This deterministic rule is reproducible but has no independent physiological meaning. R0/R0_1 have no predictive labels. Repetition-based or failure-event labels were not fabricated because synchronized event markers were absent.</w:t>
      </w:r>
    </w:p>
    <w:p>
      <w:pPr>
        <w:pageBreakBefore w:val="0"/>
        <w:spacing w:after="40"/>
      </w:pPr>
    </w:p>
    <w:p>
      <w:pPr>
        <w:pageBreakBefore w:val="0"/>
        <w:spacing w:after="40"/>
      </w:pPr>
    </w:p>
    <w:p>
      <w:pPr>
        <w:pageBreakBefore w:val="0"/>
        <w:spacing w:after="40"/>
      </w:pPr>
    </w:p>
    <w:p>
      <w:pPr>
        <w:pageBreakBefore w:val="0"/>
        <w:spacing w:after="40"/>
      </w:pPr>
    </w:p>
    <w:p>
      <w:pPr>
        <w:pageBreakBefore w:val="0"/>
        <w:spacing w:after="120" w:before="0"/>
        <w:jc w:val="both"/>
      </w:pPr>
    </w:p>
    <w:p>
      <w:pPr>
        <w:pStyle w:val="Heading2"/>
        <w:keepNext/>
        <w:pageBreakBefore w:val="0"/>
        <w:spacing w:before="200" w:after="120"/>
      </w:pPr>
      <w:r>
        <w:rPr>
          <w:rFonts w:ascii="Arial" w:hAnsi="Arial"/>
          <w:b/>
          <w:color w:val="1F3B63"/>
          <w:sz w:val="25"/>
        </w:rPr>
        <w:t>3.2  Class definition and distribution</w:t>
      </w:r>
    </w:p>
    <w:p>
      <w:pPr>
        <w:spacing w:before="140" w:after="60"/>
      </w:pPr>
      <w:r>
        <w:rPr>
          <w:rFonts w:ascii="Arial" w:hAnsi="Arial"/>
          <w:b/>
          <w:color w:val="1F3B63"/>
          <w:sz w:val="18"/>
        </w:rPr>
        <w:t>TABLE III. FROZEN TEMPORAL-POSITION LABELS</w:t>
      </w:r>
    </w:p>
    <w:tbl>
      <w:tblPr>
        <w:tblStyle w:val="TableGrid"/>
        <w:tblW w:type="auto" w:w="0"/>
        <w:tblLook w:firstColumn="1" w:firstRow="1" w:lastColumn="0" w:lastRow="0" w:noHBand="0" w:noVBand="1" w:val="04A0"/>
        <w:jc w:val="center"/>
        <w:tblBorders>
          <w:top w:val="single" w:sz="4" w:space="0" w:color="9AA7B5"/>
          <w:left w:val="single" w:sz="4" w:space="0" w:color="9AA7B5"/>
          <w:bottom w:val="single" w:sz="4" w:space="0" w:color="9AA7B5"/>
          <w:right w:val="single" w:sz="4" w:space="0" w:color="9AA7B5"/>
          <w:insideH w:val="single" w:sz="4" w:space="0" w:color="9AA7B5"/>
          <w:insideV w:val="single" w:sz="4" w:space="0" w:color="9AA7B5"/>
        </w:tblBorders>
        <w:tblLayout w:type="autofit"/>
      </w:tblPr>
      <w:tblGrid>
        <w:gridCol w:w="1656"/>
        <w:gridCol w:w="4320"/>
        <w:gridCol w:w="1584"/>
        <w:gridCol w:w="1613"/>
      </w:tblGrid>
      <w:tr>
        <w:trPr>
          <w:tblHeader w:val="true"/>
          <w:cantSplit/>
          <w:tblHeader/>
        </w:trPr>
        <w:tc>
          <w:tcPr>
            <w:tcW w:type="dxa" w:w="1656"/>
            <w:shd w:val="clear" w:color="auto" w:fill="1F3B63"/>
            <w:tcMar>
              <w:top w:w="90" w:type="dxa"/>
              <w:start w:w="95" w:type="dxa"/>
              <w:bottom w:w="90" w:type="dxa"/>
              <w:end w:w="95" w:type="dxa"/>
            </w:tcMar>
            <w:vAlign w:val="center"/>
          </w:tcPr>
          <w:p>
            <w:pPr>
              <w:spacing w:after="20" w:before="20" w:line="240" w:lineRule="auto"/>
              <w:jc w:val="center"/>
            </w:pPr>
            <w:r>
              <w:rPr>
                <w:rFonts w:ascii="Arial" w:hAnsi="Arial"/>
                <w:b/>
                <w:color w:val="FFFFFF"/>
                <w:sz w:val="16"/>
              </w:rPr>
              <w:t>Class</w:t>
            </w:r>
          </w:p>
        </w:tc>
        <w:tc>
          <w:tcPr>
            <w:tcW w:type="dxa" w:w="4320"/>
            <w:shd w:val="clear" w:color="auto" w:fill="1F3B63"/>
            <w:tcMar>
              <w:top w:w="90" w:type="dxa"/>
              <w:start w:w="95" w:type="dxa"/>
              <w:bottom w:w="90" w:type="dxa"/>
              <w:end w:w="95" w:type="dxa"/>
            </w:tcMar>
            <w:vAlign w:val="center"/>
          </w:tcPr>
          <w:p>
            <w:pPr>
              <w:spacing w:after="20" w:before="20" w:line="240" w:lineRule="auto"/>
              <w:jc w:val="center"/>
            </w:pPr>
            <w:r>
              <w:rPr>
                <w:rFonts w:ascii="Arial" w:hAnsi="Arial"/>
                <w:b/>
                <w:color w:val="FFFFFF"/>
                <w:sz w:val="16"/>
              </w:rPr>
              <w:t>Exact rule</w:t>
            </w:r>
          </w:p>
        </w:tc>
        <w:tc>
          <w:tcPr>
            <w:tcW w:type="dxa" w:w="1584"/>
            <w:shd w:val="clear" w:color="auto" w:fill="1F3B63"/>
            <w:tcMar>
              <w:top w:w="90" w:type="dxa"/>
              <w:start w:w="95" w:type="dxa"/>
              <w:bottom w:w="90" w:type="dxa"/>
              <w:end w:w="95" w:type="dxa"/>
            </w:tcMar>
            <w:vAlign w:val="center"/>
          </w:tcPr>
          <w:p>
            <w:pPr>
              <w:spacing w:after="20" w:before="20" w:line="240" w:lineRule="auto"/>
              <w:jc w:val="center"/>
            </w:pPr>
            <w:r>
              <w:rPr>
                <w:rFonts w:ascii="Arial" w:hAnsi="Arial"/>
                <w:b/>
                <w:color w:val="FFFFFF"/>
                <w:sz w:val="16"/>
              </w:rPr>
              <w:t>Segments (n)</w:t>
            </w:r>
          </w:p>
        </w:tc>
        <w:tc>
          <w:tcPr>
            <w:tcW w:type="dxa" w:w="1613"/>
            <w:shd w:val="clear" w:color="auto" w:fill="1F3B63"/>
            <w:tcMar>
              <w:top w:w="90" w:type="dxa"/>
              <w:start w:w="95" w:type="dxa"/>
              <w:bottom w:w="90" w:type="dxa"/>
              <w:end w:w="95" w:type="dxa"/>
            </w:tcMar>
            <w:vAlign w:val="center"/>
          </w:tcPr>
          <w:p>
            <w:pPr>
              <w:spacing w:after="20" w:before="20" w:line="240" w:lineRule="auto"/>
              <w:jc w:val="center"/>
            </w:pPr>
            <w:r>
              <w:rPr>
                <w:rFonts w:ascii="Arial" w:hAnsi="Arial"/>
                <w:b/>
                <w:color w:val="FFFFFF"/>
                <w:sz w:val="16"/>
              </w:rPr>
              <w:t>%</w:t>
            </w:r>
          </w:p>
        </w:tc>
      </w:tr>
      <w:tr>
        <w:trPr>
          <w:cantSplit/>
          <w:cantSplit/>
        </w:trPr>
        <w:tc>
          <w:tcPr>
            <w:tcW w:type="dxa" w:w="1656"/>
            <w:tcMar>
              <w:top w:w="90" w:type="dxa"/>
              <w:start w:w="95" w:type="dxa"/>
              <w:bottom w:w="90" w:type="dxa"/>
              <w:end w:w="95" w:type="dxa"/>
            </w:tcMar>
            <w:vAlign w:val="center"/>
            <w:shd w:fill="FFFFFF"/>
          </w:tcPr>
          <w:p>
            <w:pPr>
              <w:spacing w:after="20" w:before="20" w:line="240" w:lineRule="auto"/>
            </w:pPr>
            <w:r>
              <w:rPr>
                <w:rFonts w:ascii="Arial" w:hAnsi="Arial"/>
                <w:b w:val="0"/>
                <w:color w:val="222222"/>
                <w:sz w:val="16"/>
              </w:rPr>
              <w:t>Early</w:t>
            </w:r>
          </w:p>
        </w:tc>
        <w:tc>
          <w:tcPr>
            <w:tcW w:type="dxa" w:w="4320"/>
            <w:tcMar>
              <w:top w:w="90" w:type="dxa"/>
              <w:start w:w="95" w:type="dxa"/>
              <w:bottom w:w="90" w:type="dxa"/>
              <w:end w:w="95" w:type="dxa"/>
            </w:tcMar>
            <w:vAlign w:val="center"/>
            <w:shd w:fill="FFFFFF"/>
          </w:tcPr>
          <w:p>
            <w:pPr>
              <w:spacing w:after="20" w:before="20" w:line="240" w:lineRule="auto"/>
            </w:pPr>
            <w:r>
              <w:rPr>
                <w:rFonts w:ascii="Arial" w:hAnsi="Arial"/>
                <w:b w:val="0"/>
                <w:color w:val="222222"/>
                <w:sz w:val="16"/>
              </w:rPr>
              <w:t>First third of elapsed recording time</w:t>
            </w:r>
          </w:p>
        </w:tc>
        <w:tc>
          <w:tcPr>
            <w:tcW w:type="dxa" w:w="1584"/>
            <w:tcMar>
              <w:top w:w="90" w:type="dxa"/>
              <w:start w:w="95" w:type="dxa"/>
              <w:bottom w:w="90" w:type="dxa"/>
              <w:end w:w="95" w:type="dxa"/>
            </w:tcMar>
            <w:vAlign w:val="center"/>
            <w:shd w:fill="FFFFFF"/>
          </w:tcPr>
          <w:p>
            <w:pPr>
              <w:spacing w:after="20" w:before="20" w:line="240" w:lineRule="auto"/>
              <w:jc w:val="center"/>
            </w:pPr>
            <w:r>
              <w:rPr>
                <w:rFonts w:ascii="Arial" w:hAnsi="Arial"/>
                <w:b w:val="0"/>
                <w:color w:val="222222"/>
                <w:sz w:val="16"/>
              </w:rPr>
              <w:t>138</w:t>
            </w:r>
          </w:p>
        </w:tc>
        <w:tc>
          <w:tcPr>
            <w:tcW w:type="dxa" w:w="1613"/>
            <w:tcMar>
              <w:top w:w="90" w:type="dxa"/>
              <w:start w:w="95" w:type="dxa"/>
              <w:bottom w:w="90" w:type="dxa"/>
              <w:end w:w="95" w:type="dxa"/>
            </w:tcMar>
            <w:vAlign w:val="center"/>
            <w:shd w:fill="FFFFFF"/>
          </w:tcPr>
          <w:p>
            <w:pPr>
              <w:spacing w:after="20" w:before="20" w:line="240" w:lineRule="auto"/>
              <w:jc w:val="center"/>
            </w:pPr>
            <w:r>
              <w:rPr>
                <w:rFonts w:ascii="Arial" w:hAnsi="Arial"/>
                <w:b w:val="0"/>
                <w:color w:val="222222"/>
                <w:sz w:val="16"/>
              </w:rPr>
              <w:t>33.33%</w:t>
            </w:r>
          </w:p>
        </w:tc>
      </w:tr>
      <w:tr>
        <w:trPr>
          <w:cantSplit/>
          <w:cantSplit/>
        </w:trPr>
        <w:tc>
          <w:tcPr>
            <w:tcW w:type="dxa" w:w="1656"/>
            <w:tcMar>
              <w:top w:w="90" w:type="dxa"/>
              <w:start w:w="95" w:type="dxa"/>
              <w:bottom w:w="90" w:type="dxa"/>
              <w:end w:w="95" w:type="dxa"/>
            </w:tcMar>
            <w:vAlign w:val="center"/>
            <w:shd w:fill="EAF0F6"/>
          </w:tcPr>
          <w:p>
            <w:pPr>
              <w:spacing w:after="20" w:before="20" w:line="240" w:lineRule="auto"/>
            </w:pPr>
            <w:r>
              <w:rPr>
                <w:rFonts w:ascii="Arial" w:hAnsi="Arial"/>
                <w:b w:val="0"/>
                <w:color w:val="222222"/>
                <w:sz w:val="16"/>
              </w:rPr>
              <w:t>Middle</w:t>
            </w:r>
          </w:p>
        </w:tc>
        <w:tc>
          <w:tcPr>
            <w:tcW w:type="dxa" w:w="4320"/>
            <w:tcMar>
              <w:top w:w="90" w:type="dxa"/>
              <w:start w:w="95" w:type="dxa"/>
              <w:bottom w:w="90" w:type="dxa"/>
              <w:end w:w="95" w:type="dxa"/>
            </w:tcMar>
            <w:vAlign w:val="center"/>
            <w:shd w:fill="EAF0F6"/>
          </w:tcPr>
          <w:p>
            <w:pPr>
              <w:spacing w:after="20" w:before="20" w:line="240" w:lineRule="auto"/>
            </w:pPr>
            <w:r>
              <w:rPr>
                <w:rFonts w:ascii="Arial" w:hAnsi="Arial"/>
                <w:b w:val="0"/>
                <w:color w:val="222222"/>
                <w:sz w:val="16"/>
              </w:rPr>
              <w:t>Second third of elapsed recording time</w:t>
            </w:r>
          </w:p>
        </w:tc>
        <w:tc>
          <w:tcPr>
            <w:tcW w:type="dxa" w:w="1584"/>
            <w:tcMar>
              <w:top w:w="90" w:type="dxa"/>
              <w:start w:w="95" w:type="dxa"/>
              <w:bottom w:w="90" w:type="dxa"/>
              <w:end w:w="95" w:type="dxa"/>
            </w:tcMar>
            <w:vAlign w:val="center"/>
            <w:shd w:fill="EAF0F6"/>
          </w:tcPr>
          <w:p>
            <w:pPr>
              <w:spacing w:after="20" w:before="20" w:line="240" w:lineRule="auto"/>
              <w:jc w:val="center"/>
            </w:pPr>
            <w:r>
              <w:rPr>
                <w:rFonts w:ascii="Arial" w:hAnsi="Arial"/>
                <w:b w:val="0"/>
                <w:color w:val="222222"/>
                <w:sz w:val="16"/>
              </w:rPr>
              <w:t>138</w:t>
            </w:r>
          </w:p>
        </w:tc>
        <w:tc>
          <w:tcPr>
            <w:tcW w:type="dxa" w:w="1613"/>
            <w:tcMar>
              <w:top w:w="90" w:type="dxa"/>
              <w:start w:w="95" w:type="dxa"/>
              <w:bottom w:w="90" w:type="dxa"/>
              <w:end w:w="95" w:type="dxa"/>
            </w:tcMar>
            <w:vAlign w:val="center"/>
            <w:shd w:fill="EAF0F6"/>
          </w:tcPr>
          <w:p>
            <w:pPr>
              <w:spacing w:after="20" w:before="20" w:line="240" w:lineRule="auto"/>
              <w:jc w:val="center"/>
            </w:pPr>
            <w:r>
              <w:rPr>
                <w:rFonts w:ascii="Arial" w:hAnsi="Arial"/>
                <w:b w:val="0"/>
                <w:color w:val="222222"/>
                <w:sz w:val="16"/>
              </w:rPr>
              <w:t>33.33%</w:t>
            </w:r>
          </w:p>
        </w:tc>
      </w:tr>
      <w:tr>
        <w:trPr>
          <w:cantSplit/>
          <w:cantSplit/>
        </w:trPr>
        <w:tc>
          <w:tcPr>
            <w:tcW w:type="dxa" w:w="1656"/>
            <w:tcMar>
              <w:top w:w="90" w:type="dxa"/>
              <w:start w:w="95" w:type="dxa"/>
              <w:bottom w:w="90" w:type="dxa"/>
              <w:end w:w="95" w:type="dxa"/>
            </w:tcMar>
            <w:vAlign w:val="center"/>
            <w:shd w:fill="FFFFFF"/>
          </w:tcPr>
          <w:p>
            <w:pPr>
              <w:spacing w:after="20" w:before="20" w:line="240" w:lineRule="auto"/>
            </w:pPr>
            <w:r>
              <w:rPr>
                <w:rFonts w:ascii="Arial" w:hAnsi="Arial"/>
                <w:b w:val="0"/>
                <w:color w:val="222222"/>
                <w:sz w:val="16"/>
              </w:rPr>
              <w:t>Late</w:t>
            </w:r>
          </w:p>
        </w:tc>
        <w:tc>
          <w:tcPr>
            <w:tcW w:type="dxa" w:w="4320"/>
            <w:tcMar>
              <w:top w:w="90" w:type="dxa"/>
              <w:start w:w="95" w:type="dxa"/>
              <w:bottom w:w="90" w:type="dxa"/>
              <w:end w:w="95" w:type="dxa"/>
            </w:tcMar>
            <w:vAlign w:val="center"/>
            <w:shd w:fill="FFFFFF"/>
          </w:tcPr>
          <w:p>
            <w:pPr>
              <w:spacing w:after="20" w:before="20" w:line="240" w:lineRule="auto"/>
            </w:pPr>
            <w:r>
              <w:rPr>
                <w:rFonts w:ascii="Arial" w:hAnsi="Arial"/>
                <w:b w:val="0"/>
                <w:color w:val="222222"/>
                <w:sz w:val="16"/>
              </w:rPr>
              <w:t>Final third of elapsed recording time</w:t>
            </w:r>
          </w:p>
        </w:tc>
        <w:tc>
          <w:tcPr>
            <w:tcW w:type="dxa" w:w="1584"/>
            <w:tcMar>
              <w:top w:w="90" w:type="dxa"/>
              <w:start w:w="95" w:type="dxa"/>
              <w:bottom w:w="90" w:type="dxa"/>
              <w:end w:w="95" w:type="dxa"/>
            </w:tcMar>
            <w:vAlign w:val="center"/>
            <w:shd w:fill="FFFFFF"/>
          </w:tcPr>
          <w:p>
            <w:pPr>
              <w:spacing w:after="20" w:before="20" w:line="240" w:lineRule="auto"/>
              <w:jc w:val="center"/>
            </w:pPr>
            <w:r>
              <w:rPr>
                <w:rFonts w:ascii="Arial" w:hAnsi="Arial"/>
                <w:b w:val="0"/>
                <w:color w:val="222222"/>
                <w:sz w:val="16"/>
              </w:rPr>
              <w:t>138</w:t>
            </w:r>
          </w:p>
        </w:tc>
        <w:tc>
          <w:tcPr>
            <w:tcW w:type="dxa" w:w="1613"/>
            <w:tcMar>
              <w:top w:w="90" w:type="dxa"/>
              <w:start w:w="95" w:type="dxa"/>
              <w:bottom w:w="90" w:type="dxa"/>
              <w:end w:w="95" w:type="dxa"/>
            </w:tcMar>
            <w:vAlign w:val="center"/>
            <w:shd w:fill="FFFFFF"/>
          </w:tcPr>
          <w:p>
            <w:pPr>
              <w:spacing w:after="20" w:before="20" w:line="240" w:lineRule="auto"/>
              <w:jc w:val="center"/>
            </w:pPr>
            <w:r>
              <w:rPr>
                <w:rFonts w:ascii="Arial" w:hAnsi="Arial"/>
                <w:b w:val="0"/>
                <w:color w:val="222222"/>
                <w:sz w:val="16"/>
              </w:rPr>
              <w:t>33.33%</w:t>
            </w:r>
          </w:p>
        </w:tc>
      </w:tr>
      <w:tr>
        <w:trPr>
          <w:cantSplit/>
          <w:cantSplit/>
        </w:trPr>
        <w:tc>
          <w:tcPr>
            <w:tcW w:type="dxa" w:w="1656"/>
            <w:tcMar>
              <w:top w:w="90" w:type="dxa"/>
              <w:start w:w="95" w:type="dxa"/>
              <w:bottom w:w="90" w:type="dxa"/>
              <w:end w:w="95" w:type="dxa"/>
            </w:tcMar>
            <w:vAlign w:val="center"/>
            <w:shd w:fill="EAF0F6"/>
          </w:tcPr>
          <w:p>
            <w:pPr>
              <w:spacing w:after="20" w:before="20" w:line="240" w:lineRule="auto"/>
            </w:pPr>
            <w:r>
              <w:rPr>
                <w:rFonts w:ascii="Arial" w:hAnsi="Arial"/>
                <w:b w:val="0"/>
                <w:color w:val="222222"/>
                <w:sz w:val="16"/>
              </w:rPr>
              <w:t>Total</w:t>
            </w:r>
          </w:p>
        </w:tc>
        <w:tc>
          <w:tcPr>
            <w:tcW w:type="dxa" w:w="4320"/>
            <w:tcMar>
              <w:top w:w="90" w:type="dxa"/>
              <w:start w:w="95" w:type="dxa"/>
              <w:bottom w:w="90" w:type="dxa"/>
              <w:end w:w="95" w:type="dxa"/>
            </w:tcMar>
            <w:vAlign w:val="center"/>
            <w:shd w:fill="EAF0F6"/>
          </w:tcPr>
          <w:p>
            <w:pPr>
              <w:spacing w:after="20" w:before="20" w:line="240" w:lineRule="auto"/>
            </w:pPr>
            <w:r>
              <w:rPr>
                <w:rFonts w:ascii="Arial" w:hAnsi="Arial"/>
                <w:b w:val="0"/>
                <w:color w:val="222222"/>
                <w:sz w:val="16"/>
              </w:rPr>
              <w:t>Three deterministic thirds per R1–R5 recording</w:t>
            </w:r>
          </w:p>
        </w:tc>
        <w:tc>
          <w:tcPr>
            <w:tcW w:type="dxa" w:w="1584"/>
            <w:tcMar>
              <w:top w:w="90" w:type="dxa"/>
              <w:start w:w="95" w:type="dxa"/>
              <w:bottom w:w="90" w:type="dxa"/>
              <w:end w:w="95" w:type="dxa"/>
            </w:tcMar>
            <w:vAlign w:val="center"/>
            <w:shd w:fill="EAF0F6"/>
          </w:tcPr>
          <w:p>
            <w:pPr>
              <w:spacing w:after="20" w:before="20" w:line="240" w:lineRule="auto"/>
              <w:jc w:val="center"/>
            </w:pPr>
            <w:r>
              <w:rPr>
                <w:rFonts w:ascii="Arial" w:hAnsi="Arial"/>
                <w:b w:val="0"/>
                <w:color w:val="222222"/>
                <w:sz w:val="16"/>
              </w:rPr>
              <w:t>414</w:t>
            </w:r>
          </w:p>
        </w:tc>
        <w:tc>
          <w:tcPr>
            <w:tcW w:type="dxa" w:w="1613"/>
            <w:tcMar>
              <w:top w:w="90" w:type="dxa"/>
              <w:start w:w="95" w:type="dxa"/>
              <w:bottom w:w="90" w:type="dxa"/>
              <w:end w:w="95" w:type="dxa"/>
            </w:tcMar>
            <w:vAlign w:val="center"/>
            <w:shd w:fill="EAF0F6"/>
          </w:tcPr>
          <w:p>
            <w:pPr>
              <w:spacing w:after="20" w:before="20" w:line="240" w:lineRule="auto"/>
              <w:jc w:val="center"/>
            </w:pPr>
            <w:r>
              <w:rPr>
                <w:rFonts w:ascii="Arial" w:hAnsi="Arial"/>
                <w:b w:val="0"/>
                <w:color w:val="222222"/>
                <w:sz w:val="16"/>
              </w:rPr>
              <w:t>100.00%</w:t>
            </w:r>
          </w:p>
        </w:tc>
      </w:tr>
    </w:tbl>
    <w:p>
      <w:pPr>
        <w:pageBreakBefore w:val="0"/>
        <w:spacing w:after="160" w:before="0"/>
        <w:jc w:val="both"/>
      </w:pPr>
    </w:p>
    <w:p>
      <w:pPr>
        <w:pStyle w:val="Heading2"/>
        <w:keepNext/>
        <w:pageBreakBefore w:val="0"/>
        <w:spacing w:before="200" w:after="120"/>
      </w:pPr>
      <w:r>
        <w:rPr>
          <w:rFonts w:ascii="Arial" w:hAnsi="Arial"/>
          <w:b/>
          <w:color w:val="1F3B63"/>
          <w:sz w:val="25"/>
        </w:rPr>
        <w:t>3.3  Circularity check</w:t>
      </w:r>
    </w:p>
    <w:p>
      <w:pPr>
        <w:pageBreakBefore w:val="0"/>
        <w:widowControl/>
        <w:spacing w:after="40"/>
      </w:pPr>
      <w:r>
        <w:t>Label construction used elapsed time alone; the feature families contain waveform descriptors rather than the target label or a direct time-third field. Predictor names and target-generation logic are separate in the local pipeline. This prevents direct label-column leakage but does not remove association between descriptors and time, contraction sequence, pauses or recording duration. The result must still be interpreted as temporal-position classification.</w:t>
      </w:r>
    </w:p>
    <w:p>
      <w:pPr>
        <w:pageBreakBefore w:val="0"/>
        <w:spacing w:after="40"/>
      </w:pPr>
    </w:p>
    <w:p>
      <w:pPr>
        <w:pageBreakBefore w:val="0"/>
        <w:spacing w:after="40"/>
      </w:pPr>
    </w:p>
    <w:p>
      <w:pPr>
        <w:pageBreakBefore w:val="0"/>
        <w:spacing w:after="120" w:before="0"/>
        <w:jc w:val="both"/>
      </w:pPr>
    </w:p>
    <w:p>
      <w:pPr>
        <w:pStyle w:val="Heading2"/>
        <w:keepNext/>
        <w:pageBreakBefore w:val="0"/>
        <w:spacing w:before="200" w:after="120"/>
      </w:pPr>
      <w:r>
        <w:rPr>
          <w:rFonts w:ascii="Arial" w:hAnsi="Arial"/>
          <w:b/>
          <w:color w:val="1F3B63"/>
          <w:sz w:val="25"/>
        </w:rPr>
        <w:t>3.4  Label reliability</w:t>
      </w:r>
    </w:p>
    <w:p>
      <w:pPr>
        <w:pageBreakBefore w:val="0"/>
        <w:widowControl/>
        <w:spacing w:after="40"/>
      </w:pPr>
      <w:r>
        <w:t>The labels are generated deterministically, so inter-rater agreement is not applicable. No independent repetition, force, torque, Borg rating or failure event is linked to segments; label reliability against a fatigue construct is untested. There is no independent local fatigue ground truth and no external validation in the current final study, consistent with the project’s local-only instruction.</w:t>
      </w:r>
    </w:p>
    <w:p>
      <w:pPr>
        <w:pageBreakBefore w:val="0"/>
        <w:spacing w:after="40"/>
      </w:pPr>
    </w:p>
    <w:p>
      <w:pPr>
        <w:pageBreakBefore w:val="0"/>
        <w:spacing w:after="40"/>
      </w:pPr>
    </w:p>
    <w:p>
      <w:pPr>
        <w:pageBreakBefore w:val="0"/>
        <w:spacing w:after="120" w:before="0"/>
        <w:jc w:val="both"/>
      </w:pPr>
    </w:p>
    <w:p>
      <w:pPr>
        <w:pStyle w:val="Heading1"/>
        <w:keepNext/>
        <w:pageBreakBefore w:val="0"/>
        <w:spacing w:before="280" w:after="120"/>
      </w:pPr>
      <w:r>
        <w:rPr>
          <w:rFonts w:ascii="Arial" w:hAnsi="Arial"/>
          <w:b/>
          <w:color w:val="1F3B63"/>
          <w:sz w:val="30"/>
        </w:rPr>
        <w:t>4.  Signal processing and feature extraction</w:t>
      </w:r>
    </w:p>
    <w:p>
      <w:pPr>
        <w:pStyle w:val="Heading2"/>
        <w:keepNext/>
        <w:pageBreakBefore w:val="0"/>
        <w:spacing w:before="200" w:after="120"/>
      </w:pPr>
      <w:r>
        <w:rPr>
          <w:rFonts w:ascii="Arial" w:hAnsi="Arial"/>
          <w:b/>
          <w:color w:val="1F3B63"/>
          <w:sz w:val="25"/>
        </w:rPr>
        <w:t>4.1  Preprocessing chain</w:t>
      </w:r>
    </w:p>
    <w:p>
      <w:pPr>
        <w:spacing w:before="140" w:after="60"/>
      </w:pPr>
      <w:r>
        <w:rPr>
          <w:rFonts w:ascii="Arial" w:hAnsi="Arial"/>
          <w:b/>
          <w:color w:val="1F3B63"/>
          <w:sz w:val="18"/>
        </w:rPr>
        <w:t>TABLE IV. DIGITAL FILTER CANDIDATES AND SIGNAL-HANDLING RULES</w:t>
      </w:r>
    </w:p>
    <w:tbl>
      <w:tblPr>
        <w:tblStyle w:val="TableGrid"/>
        <w:tblW w:type="auto" w:w="0"/>
        <w:tblLook w:firstColumn="1" w:firstRow="1" w:lastColumn="0" w:lastRow="0" w:noHBand="0" w:noVBand="1" w:val="04A0"/>
        <w:jc w:val="center"/>
        <w:tblBorders>
          <w:top w:val="single" w:sz="4" w:space="0" w:color="9AA7B5"/>
          <w:left w:val="single" w:sz="4" w:space="0" w:color="9AA7B5"/>
          <w:bottom w:val="single" w:sz="4" w:space="0" w:color="9AA7B5"/>
          <w:right w:val="single" w:sz="4" w:space="0" w:color="9AA7B5"/>
          <w:insideH w:val="single" w:sz="4" w:space="0" w:color="9AA7B5"/>
          <w:insideV w:val="single" w:sz="4" w:space="0" w:color="9AA7B5"/>
        </w:tblBorders>
        <w:tblLayout w:type="autofit"/>
      </w:tblPr>
      <w:tblGrid>
        <w:gridCol w:w="2520"/>
        <w:gridCol w:w="3240"/>
        <w:gridCol w:w="3413"/>
      </w:tblGrid>
      <w:tr>
        <w:trPr>
          <w:tblHeader w:val="true"/>
          <w:cantSplit/>
          <w:tblHeader/>
        </w:trPr>
        <w:tc>
          <w:tcPr>
            <w:tcW w:type="dxa" w:w="2520"/>
            <w:shd w:val="clear" w:color="auto" w:fill="1F3B63"/>
            <w:tcMar>
              <w:top w:w="90" w:type="dxa"/>
              <w:start w:w="95" w:type="dxa"/>
              <w:bottom w:w="90" w:type="dxa"/>
              <w:end w:w="95" w:type="dxa"/>
            </w:tcMar>
            <w:vAlign w:val="center"/>
          </w:tcPr>
          <w:p>
            <w:pPr>
              <w:spacing w:after="20" w:before="20" w:line="240" w:lineRule="auto"/>
              <w:jc w:val="center"/>
            </w:pPr>
            <w:r>
              <w:rPr>
                <w:rFonts w:ascii="Arial" w:hAnsi="Arial"/>
                <w:b/>
                <w:color w:val="FFFFFF"/>
                <w:sz w:val="15"/>
              </w:rPr>
              <w:t>Stage</w:t>
            </w:r>
          </w:p>
        </w:tc>
        <w:tc>
          <w:tcPr>
            <w:tcW w:type="dxa" w:w="3240"/>
            <w:shd w:val="clear" w:color="auto" w:fill="1F3B63"/>
            <w:tcMar>
              <w:top w:w="90" w:type="dxa"/>
              <w:start w:w="95" w:type="dxa"/>
              <w:bottom w:w="90" w:type="dxa"/>
              <w:end w:w="95" w:type="dxa"/>
            </w:tcMar>
            <w:vAlign w:val="center"/>
          </w:tcPr>
          <w:p>
            <w:pPr>
              <w:spacing w:after="20" w:before="20" w:line="240" w:lineRule="auto"/>
              <w:jc w:val="center"/>
            </w:pPr>
            <w:r>
              <w:rPr>
                <w:rFonts w:ascii="Arial" w:hAnsi="Arial"/>
                <w:b/>
                <w:color w:val="FFFFFF"/>
                <w:sz w:val="15"/>
              </w:rPr>
              <w:t>Method</w:t>
            </w:r>
          </w:p>
        </w:tc>
        <w:tc>
          <w:tcPr>
            <w:tcW w:type="dxa" w:w="3413"/>
            <w:shd w:val="clear" w:color="auto" w:fill="1F3B63"/>
            <w:tcMar>
              <w:top w:w="90" w:type="dxa"/>
              <w:start w:w="95" w:type="dxa"/>
              <w:bottom w:w="90" w:type="dxa"/>
              <w:end w:w="95" w:type="dxa"/>
            </w:tcMar>
            <w:vAlign w:val="center"/>
          </w:tcPr>
          <w:p>
            <w:pPr>
              <w:spacing w:after="20" w:before="20" w:line="240" w:lineRule="auto"/>
              <w:jc w:val="center"/>
            </w:pPr>
            <w:r>
              <w:rPr>
                <w:rFonts w:ascii="Arial" w:hAnsi="Arial"/>
                <w:b/>
                <w:color w:val="FFFFFF"/>
                <w:sz w:val="15"/>
              </w:rPr>
              <w:t>Parameters and reason</w:t>
            </w:r>
          </w:p>
        </w:tc>
      </w:tr>
      <w:tr>
        <w:trPr>
          <w:cantSplit/>
          <w:cantSplit/>
        </w:trPr>
        <w:tc>
          <w:tcPr>
            <w:tcW w:type="dxa" w:w="2520"/>
            <w:tcMar>
              <w:top w:w="90" w:type="dxa"/>
              <w:start w:w="95" w:type="dxa"/>
              <w:bottom w:w="90" w:type="dxa"/>
              <w:end w:w="95" w:type="dxa"/>
            </w:tcMar>
            <w:vAlign w:val="center"/>
            <w:shd w:fill="FFFFFF"/>
          </w:tcPr>
          <w:p>
            <w:pPr>
              <w:spacing w:after="20" w:before="20" w:line="240" w:lineRule="auto"/>
            </w:pPr>
            <w:r>
              <w:rPr>
                <w:rFonts w:ascii="Arial" w:hAnsi="Arial"/>
                <w:b w:val="0"/>
                <w:color w:val="222222"/>
                <w:sz w:val="15"/>
              </w:rPr>
              <w:t>Stored channel control</w:t>
            </w:r>
          </w:p>
        </w:tc>
        <w:tc>
          <w:tcPr>
            <w:tcW w:type="dxa" w:w="3240"/>
            <w:tcMar>
              <w:top w:w="90" w:type="dxa"/>
              <w:start w:w="95" w:type="dxa"/>
              <w:bottom w:w="90" w:type="dxa"/>
              <w:end w:w="95" w:type="dxa"/>
            </w:tcMar>
            <w:vAlign w:val="center"/>
            <w:shd w:fill="FFFFFF"/>
          </w:tcPr>
          <w:p>
            <w:pPr>
              <w:spacing w:after="20" w:before="20" w:line="240" w:lineRule="auto"/>
            </w:pPr>
            <w:r>
              <w:rPr>
                <w:rFonts w:ascii="Arial" w:hAnsi="Arial"/>
                <w:b w:val="0"/>
                <w:color w:val="222222"/>
                <w:sz w:val="15"/>
              </w:rPr>
              <w:t>No digital filter</w:t>
            </w:r>
          </w:p>
        </w:tc>
        <w:tc>
          <w:tcPr>
            <w:tcW w:type="dxa" w:w="3413"/>
            <w:tcMar>
              <w:top w:w="90" w:type="dxa"/>
              <w:start w:w="95" w:type="dxa"/>
              <w:bottom w:w="90" w:type="dxa"/>
              <w:end w:w="95" w:type="dxa"/>
            </w:tcMar>
            <w:vAlign w:val="center"/>
            <w:shd w:fill="FFFFFF"/>
          </w:tcPr>
          <w:p>
            <w:pPr>
              <w:spacing w:after="20" w:before="20" w:line="240" w:lineRule="auto"/>
            </w:pPr>
            <w:r>
              <w:rPr>
                <w:rFonts w:ascii="Arial" w:hAnsi="Arial"/>
                <w:b w:val="0"/>
                <w:color w:val="222222"/>
                <w:sz w:val="15"/>
              </w:rPr>
              <w:t>Comparator; storage mode not verified</w:t>
            </w:r>
          </w:p>
        </w:tc>
      </w:tr>
      <w:tr>
        <w:trPr>
          <w:cantSplit/>
          <w:cantSplit/>
        </w:trPr>
        <w:tc>
          <w:tcPr>
            <w:tcW w:type="dxa" w:w="2520"/>
            <w:tcMar>
              <w:top w:w="90" w:type="dxa"/>
              <w:start w:w="95" w:type="dxa"/>
              <w:bottom w:w="90" w:type="dxa"/>
              <w:end w:w="95" w:type="dxa"/>
            </w:tcMar>
            <w:vAlign w:val="center"/>
            <w:shd w:fill="EAF0F6"/>
          </w:tcPr>
          <w:p>
            <w:pPr>
              <w:spacing w:after="20" w:before="20" w:line="240" w:lineRule="auto"/>
            </w:pPr>
            <w:r>
              <w:rPr>
                <w:rFonts w:ascii="Arial" w:hAnsi="Arial"/>
                <w:b w:val="0"/>
                <w:color w:val="222222"/>
                <w:sz w:val="15"/>
              </w:rPr>
              <w:t>High-pass IIR</w:t>
            </w:r>
          </w:p>
        </w:tc>
        <w:tc>
          <w:tcPr>
            <w:tcW w:type="dxa" w:w="3240"/>
            <w:tcMar>
              <w:top w:w="90" w:type="dxa"/>
              <w:start w:w="95" w:type="dxa"/>
              <w:bottom w:w="90" w:type="dxa"/>
              <w:end w:w="95" w:type="dxa"/>
            </w:tcMar>
            <w:vAlign w:val="center"/>
            <w:shd w:fill="EAF0F6"/>
          </w:tcPr>
          <w:p>
            <w:pPr>
              <w:spacing w:after="20" w:before="20" w:line="240" w:lineRule="auto"/>
            </w:pPr>
            <w:r>
              <w:rPr>
                <w:rFonts w:ascii="Arial" w:hAnsi="Arial"/>
                <w:b w:val="0"/>
                <w:color w:val="222222"/>
                <w:sz w:val="15"/>
              </w:rPr>
              <w:t>4th-order Butterworth, 20 Hz</w:t>
            </w:r>
          </w:p>
        </w:tc>
        <w:tc>
          <w:tcPr>
            <w:tcW w:type="dxa" w:w="3413"/>
            <w:tcMar>
              <w:top w:w="90" w:type="dxa"/>
              <w:start w:w="95" w:type="dxa"/>
              <w:bottom w:w="90" w:type="dxa"/>
              <w:end w:w="95" w:type="dxa"/>
            </w:tcMar>
            <w:vAlign w:val="center"/>
            <w:shd w:fill="EAF0F6"/>
          </w:tcPr>
          <w:p>
            <w:pPr>
              <w:spacing w:after="20" w:before="20" w:line="240" w:lineRule="auto"/>
            </w:pPr>
            <w:r>
              <w:rPr>
                <w:rFonts w:ascii="Arial" w:hAnsi="Arial"/>
                <w:b w:val="0"/>
                <w:color w:val="222222"/>
                <w:sz w:val="15"/>
              </w:rPr>
              <w:t>Forward–backward per contiguous run</w:t>
            </w:r>
          </w:p>
        </w:tc>
      </w:tr>
      <w:tr>
        <w:trPr>
          <w:cantSplit/>
          <w:cantSplit/>
        </w:trPr>
        <w:tc>
          <w:tcPr>
            <w:tcW w:type="dxa" w:w="2520"/>
            <w:tcMar>
              <w:top w:w="90" w:type="dxa"/>
              <w:start w:w="95" w:type="dxa"/>
              <w:bottom w:w="90" w:type="dxa"/>
              <w:end w:w="95" w:type="dxa"/>
            </w:tcMar>
            <w:vAlign w:val="center"/>
            <w:shd w:fill="FFFFFF"/>
          </w:tcPr>
          <w:p>
            <w:pPr>
              <w:spacing w:after="20" w:before="20" w:line="240" w:lineRule="auto"/>
            </w:pPr>
            <w:r>
              <w:rPr>
                <w:rFonts w:ascii="Arial" w:hAnsi="Arial"/>
                <w:b w:val="0"/>
                <w:color w:val="222222"/>
                <w:sz w:val="15"/>
              </w:rPr>
              <w:t>High-pass IIR</w:t>
            </w:r>
          </w:p>
        </w:tc>
        <w:tc>
          <w:tcPr>
            <w:tcW w:type="dxa" w:w="3240"/>
            <w:tcMar>
              <w:top w:w="90" w:type="dxa"/>
              <w:start w:w="95" w:type="dxa"/>
              <w:bottom w:w="90" w:type="dxa"/>
              <w:end w:w="95" w:type="dxa"/>
            </w:tcMar>
            <w:vAlign w:val="center"/>
            <w:shd w:fill="FFFFFF"/>
          </w:tcPr>
          <w:p>
            <w:pPr>
              <w:spacing w:after="20" w:before="20" w:line="240" w:lineRule="auto"/>
            </w:pPr>
            <w:r>
              <w:rPr>
                <w:rFonts w:ascii="Arial" w:hAnsi="Arial"/>
                <w:b w:val="0"/>
                <w:color w:val="222222"/>
                <w:sz w:val="15"/>
              </w:rPr>
              <w:t>4th-order Butterworth, 40 Hz</w:t>
            </w:r>
          </w:p>
        </w:tc>
        <w:tc>
          <w:tcPr>
            <w:tcW w:type="dxa" w:w="3413"/>
            <w:tcMar>
              <w:top w:w="90" w:type="dxa"/>
              <w:start w:w="95" w:type="dxa"/>
              <w:bottom w:w="90" w:type="dxa"/>
              <w:end w:w="95" w:type="dxa"/>
            </w:tcMar>
            <w:vAlign w:val="center"/>
            <w:shd w:fill="FFFFFF"/>
          </w:tcPr>
          <w:p>
            <w:pPr>
              <w:spacing w:after="20" w:before="20" w:line="240" w:lineRule="auto"/>
            </w:pPr>
            <w:r>
              <w:rPr>
                <w:rFonts w:ascii="Arial" w:hAnsi="Arial"/>
                <w:b w:val="0"/>
                <w:color w:val="222222"/>
                <w:sz w:val="15"/>
              </w:rPr>
              <w:t>Forward–backward per contiguous run</w:t>
            </w:r>
          </w:p>
        </w:tc>
      </w:tr>
      <w:tr>
        <w:trPr>
          <w:cantSplit/>
          <w:cantSplit/>
        </w:trPr>
        <w:tc>
          <w:tcPr>
            <w:tcW w:type="dxa" w:w="2520"/>
            <w:tcMar>
              <w:top w:w="90" w:type="dxa"/>
              <w:start w:w="95" w:type="dxa"/>
              <w:bottom w:w="90" w:type="dxa"/>
              <w:end w:w="95" w:type="dxa"/>
            </w:tcMar>
            <w:vAlign w:val="center"/>
            <w:shd w:fill="EAF0F6"/>
          </w:tcPr>
          <w:p>
            <w:pPr>
              <w:spacing w:after="20" w:before="20" w:line="240" w:lineRule="auto"/>
            </w:pPr>
            <w:r>
              <w:rPr>
                <w:rFonts w:ascii="Arial" w:hAnsi="Arial"/>
                <w:b w:val="0"/>
                <w:color w:val="222222"/>
                <w:sz w:val="15"/>
              </w:rPr>
              <w:t>Band-pass IIR</w:t>
            </w:r>
          </w:p>
        </w:tc>
        <w:tc>
          <w:tcPr>
            <w:tcW w:type="dxa" w:w="3240"/>
            <w:tcMar>
              <w:top w:w="90" w:type="dxa"/>
              <w:start w:w="95" w:type="dxa"/>
              <w:bottom w:w="90" w:type="dxa"/>
              <w:end w:w="95" w:type="dxa"/>
            </w:tcMar>
            <w:vAlign w:val="center"/>
            <w:shd w:fill="EAF0F6"/>
          </w:tcPr>
          <w:p>
            <w:pPr>
              <w:spacing w:after="20" w:before="20" w:line="240" w:lineRule="auto"/>
            </w:pPr>
            <w:r>
              <w:rPr>
                <w:rFonts w:ascii="Arial" w:hAnsi="Arial"/>
                <w:b w:val="0"/>
                <w:color w:val="222222"/>
                <w:sz w:val="15"/>
              </w:rPr>
              <w:t>4th-order Butterworth, 20–400 Hz</w:t>
            </w:r>
          </w:p>
        </w:tc>
        <w:tc>
          <w:tcPr>
            <w:tcW w:type="dxa" w:w="3413"/>
            <w:tcMar>
              <w:top w:w="90" w:type="dxa"/>
              <w:start w:w="95" w:type="dxa"/>
              <w:bottom w:w="90" w:type="dxa"/>
              <w:end w:w="95" w:type="dxa"/>
            </w:tcMar>
            <w:vAlign w:val="center"/>
            <w:shd w:fill="EAF0F6"/>
          </w:tcPr>
          <w:p>
            <w:pPr>
              <w:spacing w:after="20" w:before="20" w:line="240" w:lineRule="auto"/>
            </w:pPr>
            <w:r>
              <w:rPr>
                <w:rFonts w:ascii="Arial" w:hAnsi="Arial"/>
                <w:b w:val="0"/>
                <w:color w:val="222222"/>
                <w:sz w:val="15"/>
              </w:rPr>
              <w:t>Forward–backward per contiguous run</w:t>
            </w:r>
          </w:p>
        </w:tc>
      </w:tr>
      <w:tr>
        <w:trPr>
          <w:cantSplit/>
          <w:cantSplit/>
        </w:trPr>
        <w:tc>
          <w:tcPr>
            <w:tcW w:type="dxa" w:w="2520"/>
            <w:tcMar>
              <w:top w:w="90" w:type="dxa"/>
              <w:start w:w="95" w:type="dxa"/>
              <w:bottom w:w="90" w:type="dxa"/>
              <w:end w:w="95" w:type="dxa"/>
            </w:tcMar>
            <w:vAlign w:val="center"/>
            <w:shd w:fill="FFFFFF"/>
          </w:tcPr>
          <w:p>
            <w:pPr>
              <w:spacing w:after="20" w:before="20" w:line="240" w:lineRule="auto"/>
            </w:pPr>
            <w:r>
              <w:rPr>
                <w:rFonts w:ascii="Arial" w:hAnsi="Arial"/>
                <w:b w:val="0"/>
                <w:color w:val="222222"/>
                <w:sz w:val="15"/>
              </w:rPr>
              <w:t>Band-pass FIR</w:t>
            </w:r>
          </w:p>
        </w:tc>
        <w:tc>
          <w:tcPr>
            <w:tcW w:type="dxa" w:w="3240"/>
            <w:tcMar>
              <w:top w:w="90" w:type="dxa"/>
              <w:start w:w="95" w:type="dxa"/>
              <w:bottom w:w="90" w:type="dxa"/>
              <w:end w:w="95" w:type="dxa"/>
            </w:tcMar>
            <w:vAlign w:val="center"/>
            <w:shd w:fill="FFFFFF"/>
          </w:tcPr>
          <w:p>
            <w:pPr>
              <w:spacing w:after="20" w:before="20" w:line="240" w:lineRule="auto"/>
            </w:pPr>
            <w:r>
              <w:rPr>
                <w:rFonts w:ascii="Arial" w:hAnsi="Arial"/>
                <w:b w:val="0"/>
                <w:color w:val="222222"/>
                <w:sz w:val="15"/>
              </w:rPr>
              <w:t>101 taps; Hamming; 20–400 Hz</w:t>
            </w:r>
          </w:p>
        </w:tc>
        <w:tc>
          <w:tcPr>
            <w:tcW w:type="dxa" w:w="3413"/>
            <w:tcMar>
              <w:top w:w="90" w:type="dxa"/>
              <w:start w:w="95" w:type="dxa"/>
              <w:bottom w:w="90" w:type="dxa"/>
              <w:end w:w="95" w:type="dxa"/>
            </w:tcMar>
            <w:vAlign w:val="center"/>
            <w:shd w:fill="FFFFFF"/>
          </w:tcPr>
          <w:p>
            <w:pPr>
              <w:spacing w:after="20" w:before="20" w:line="240" w:lineRule="auto"/>
            </w:pPr>
            <w:r>
              <w:rPr>
                <w:rFonts w:ascii="Arial" w:hAnsi="Arial"/>
                <w:b w:val="0"/>
                <w:color w:val="222222"/>
                <w:sz w:val="15"/>
              </w:rPr>
              <w:t>Reflective edge handling</w:t>
            </w:r>
          </w:p>
        </w:tc>
      </w:tr>
      <w:tr>
        <w:trPr>
          <w:cantSplit/>
          <w:cantSplit/>
        </w:trPr>
        <w:tc>
          <w:tcPr>
            <w:tcW w:type="dxa" w:w="2520"/>
            <w:tcMar>
              <w:top w:w="90" w:type="dxa"/>
              <w:start w:w="95" w:type="dxa"/>
              <w:bottom w:w="90" w:type="dxa"/>
              <w:end w:w="95" w:type="dxa"/>
            </w:tcMar>
            <w:vAlign w:val="center"/>
            <w:shd w:fill="EAF0F6"/>
          </w:tcPr>
          <w:p>
            <w:pPr>
              <w:spacing w:after="20" w:before="20" w:line="240" w:lineRule="auto"/>
            </w:pPr>
            <w:r>
              <w:rPr>
                <w:rFonts w:ascii="Arial" w:hAnsi="Arial"/>
                <w:b w:val="0"/>
                <w:color w:val="222222"/>
                <w:sz w:val="15"/>
              </w:rPr>
              <w:t>Power-line notch</w:t>
            </w:r>
          </w:p>
        </w:tc>
        <w:tc>
          <w:tcPr>
            <w:tcW w:type="dxa" w:w="3240"/>
            <w:tcMar>
              <w:top w:w="90" w:type="dxa"/>
              <w:start w:w="95" w:type="dxa"/>
              <w:bottom w:w="90" w:type="dxa"/>
              <w:end w:w="95" w:type="dxa"/>
            </w:tcMar>
            <w:vAlign w:val="center"/>
            <w:shd w:fill="EAF0F6"/>
          </w:tcPr>
          <w:p>
            <w:pPr>
              <w:spacing w:after="20" w:before="20" w:line="240" w:lineRule="auto"/>
            </w:pPr>
            <w:r>
              <w:rPr>
                <w:rFonts w:ascii="Arial" w:hAnsi="Arial"/>
                <w:b w:val="0"/>
                <w:color w:val="222222"/>
                <w:sz w:val="15"/>
              </w:rPr>
              <w:t>Not applied</w:t>
            </w:r>
          </w:p>
        </w:tc>
        <w:tc>
          <w:tcPr>
            <w:tcW w:type="dxa" w:w="3413"/>
            <w:tcMar>
              <w:top w:w="90" w:type="dxa"/>
              <w:start w:w="95" w:type="dxa"/>
              <w:bottom w:w="90" w:type="dxa"/>
              <w:end w:w="95" w:type="dxa"/>
            </w:tcMar>
            <w:vAlign w:val="center"/>
            <w:shd w:fill="EAF0F6"/>
          </w:tcPr>
          <w:p>
            <w:pPr>
              <w:spacing w:after="20" w:before="20" w:line="240" w:lineRule="auto"/>
            </w:pPr>
            <w:r>
              <w:rPr>
                <w:rFonts w:ascii="Arial" w:hAnsi="Arial"/>
                <w:b w:val="0"/>
                <w:color w:val="222222"/>
                <w:sz w:val="15"/>
              </w:rPr>
              <w:t>No file reached the predeclared 10 dB 50/60 Hz prominence screen</w:t>
            </w:r>
          </w:p>
        </w:tc>
      </w:tr>
      <w:tr>
        <w:trPr>
          <w:cantSplit/>
          <w:cantSplit/>
        </w:trPr>
        <w:tc>
          <w:tcPr>
            <w:tcW w:type="dxa" w:w="2520"/>
            <w:tcMar>
              <w:top w:w="90" w:type="dxa"/>
              <w:start w:w="95" w:type="dxa"/>
              <w:bottom w:w="90" w:type="dxa"/>
              <w:end w:w="95" w:type="dxa"/>
            </w:tcMar>
            <w:vAlign w:val="center"/>
            <w:shd w:fill="FFFFFF"/>
          </w:tcPr>
          <w:p>
            <w:pPr>
              <w:spacing w:after="20" w:before="20" w:line="240" w:lineRule="auto"/>
            </w:pPr>
            <w:r>
              <w:rPr>
                <w:rFonts w:ascii="Arial" w:hAnsi="Arial"/>
                <w:b w:val="0"/>
                <w:color w:val="222222"/>
                <w:sz w:val="15"/>
              </w:rPr>
              <w:t>Gaps / edges</w:t>
            </w:r>
          </w:p>
        </w:tc>
        <w:tc>
          <w:tcPr>
            <w:tcW w:type="dxa" w:w="3240"/>
            <w:tcMar>
              <w:top w:w="90" w:type="dxa"/>
              <w:start w:w="95" w:type="dxa"/>
              <w:bottom w:w="90" w:type="dxa"/>
              <w:end w:w="95" w:type="dxa"/>
            </w:tcMar>
            <w:vAlign w:val="center"/>
            <w:shd w:fill="FFFFFF"/>
          </w:tcPr>
          <w:p>
            <w:pPr>
              <w:spacing w:after="20" w:before="20" w:line="240" w:lineRule="auto"/>
            </w:pPr>
            <w:r>
              <w:rPr>
                <w:rFonts w:ascii="Arial" w:hAnsi="Arial"/>
                <w:b w:val="0"/>
                <w:color w:val="222222"/>
                <w:sz w:val="15"/>
              </w:rPr>
              <w:t>Split at max(1.5 ms, 1.5×median Δt); common edge mask</w:t>
            </w:r>
          </w:p>
        </w:tc>
        <w:tc>
          <w:tcPr>
            <w:tcW w:type="dxa" w:w="3413"/>
            <w:tcMar>
              <w:top w:w="90" w:type="dxa"/>
              <w:start w:w="95" w:type="dxa"/>
              <w:bottom w:w="90" w:type="dxa"/>
              <w:end w:w="95" w:type="dxa"/>
            </w:tcMar>
            <w:vAlign w:val="center"/>
            <w:shd w:fill="FFFFFF"/>
          </w:tcPr>
          <w:p>
            <w:pPr>
              <w:spacing w:after="20" w:before="20" w:line="240" w:lineRule="auto"/>
            </w:pPr>
            <w:r>
              <w:rPr>
                <w:rFonts w:ascii="Arial" w:hAnsi="Arial"/>
                <w:b w:val="0"/>
                <w:color w:val="222222"/>
                <w:sz w:val="15"/>
              </w:rPr>
              <w:t>No interpolation; incomplete spectral windows omitted</w:t>
            </w:r>
          </w:p>
        </w:tc>
      </w:tr>
      <w:tr>
        <w:trPr>
          <w:cantSplit/>
          <w:cantSplit/>
        </w:trPr>
        <w:tc>
          <w:tcPr>
            <w:tcW w:type="dxa" w:w="2520"/>
            <w:tcMar>
              <w:top w:w="90" w:type="dxa"/>
              <w:start w:w="95" w:type="dxa"/>
              <w:bottom w:w="90" w:type="dxa"/>
              <w:end w:w="95" w:type="dxa"/>
            </w:tcMar>
            <w:vAlign w:val="center"/>
            <w:shd w:fill="EAF0F6"/>
          </w:tcPr>
          <w:p>
            <w:pPr>
              <w:spacing w:after="20" w:before="20" w:line="240" w:lineRule="auto"/>
            </w:pPr>
            <w:r>
              <w:rPr>
                <w:rFonts w:ascii="Arial" w:hAnsi="Arial"/>
                <w:b w:val="0"/>
                <w:color w:val="222222"/>
                <w:sz w:val="15"/>
              </w:rPr>
              <w:t>Rectification / normalization</w:t>
            </w:r>
          </w:p>
        </w:tc>
        <w:tc>
          <w:tcPr>
            <w:tcW w:type="dxa" w:w="3240"/>
            <w:tcMar>
              <w:top w:w="90" w:type="dxa"/>
              <w:start w:w="95" w:type="dxa"/>
              <w:bottom w:w="90" w:type="dxa"/>
              <w:end w:w="95" w:type="dxa"/>
            </w:tcMar>
            <w:vAlign w:val="center"/>
            <w:shd w:fill="EAF0F6"/>
          </w:tcPr>
          <w:p>
            <w:pPr>
              <w:spacing w:after="20" w:before="20" w:line="240" w:lineRule="auto"/>
            </w:pPr>
            <w:r>
              <w:rPr>
                <w:rFonts w:ascii="Arial" w:hAnsi="Arial"/>
                <w:b w:val="0"/>
                <w:color w:val="222222"/>
                <w:sz w:val="15"/>
              </w:rPr>
              <w:t>Not applied</w:t>
            </w:r>
          </w:p>
        </w:tc>
        <w:tc>
          <w:tcPr>
            <w:tcW w:type="dxa" w:w="3413"/>
            <w:tcMar>
              <w:top w:w="90" w:type="dxa"/>
              <w:start w:w="95" w:type="dxa"/>
              <w:bottom w:w="90" w:type="dxa"/>
              <w:end w:w="95" w:type="dxa"/>
            </w:tcMar>
            <w:vAlign w:val="center"/>
            <w:shd w:fill="EAF0F6"/>
          </w:tcPr>
          <w:p>
            <w:pPr>
              <w:spacing w:after="20" w:before="20" w:line="240" w:lineRule="auto"/>
            </w:pPr>
            <w:r>
              <w:rPr>
                <w:rFonts w:ascii="Arial" w:hAnsi="Arial"/>
                <w:b w:val="0"/>
                <w:color w:val="222222"/>
                <w:sz w:val="15"/>
              </w:rPr>
              <w:t>Stored mode and MVC reference unavailable; no physical-voltage calibration</w:t>
            </w:r>
          </w:p>
        </w:tc>
      </w:tr>
    </w:tbl>
    <w:p>
      <w:pPr>
        <w:widowControl/>
        <w:spacing w:before="60" w:after="100"/>
      </w:pPr>
      <w:r>
        <w:rPr>
          <w:rFonts w:ascii="Arial" w:hAnsi="Arial"/>
          <w:color w:val="222222"/>
          <w:sz w:val="18"/>
        </w:rPr>
        <w:t>Five branches were compared on the stored channel: control; fourth-order Butterworth high-pass at 20 Hz (HP20); fourth-order Butterworth high-pass at 40 Hz (HP40); fourth-order Butterworth band-pass 20–400 Hz; and a 101-tap (order 100) Hamming-window FIR band-pass 20–400 Hz. Timestamp-derived sampling frequency was approximately 1 kHz; actual coefficients were recomputed for each contiguous run. For an order-N Butterworth prototype, |H_a(jΩ)|² = 1/[1+(Ω/Ω_c)^(2N)] for the low-pass prototype, with high-pass/band-pass transformations and bilinear prewarping Ω=2f_s tan(πf/f_s). The implemented IIR cascade is H(z)=Π_s (b0,s+b1,s z⁻¹+b2,s z⁻²)/(a0,s+a1,s z⁻¹+a2,s z⁻²), with normalized a0,s=1; the difference equation is y[n]=Σ_k b_k x[n−k]−Σ_{k≥1}a_k y[n−k]. The FIR response is H(z)=Σ_{n=0}^{100}b_nz⁻ⁿ, where b_n is the ideal 20–400 Hz sinc difference multiplied by w[n]=0.54−0.46cos(2πn/100) and normalized at the band centre. The 1 kHz reference coefficients are supplied in the coefficient CSV; they are not substitutes for the run-specific coefficients.</w:t>
      </w:r>
    </w:p>
    <w:p>
      <w:pPr>
        <w:pageBreakBefore w:val="0"/>
        <w:spacing w:after="160" w:before="0"/>
        <w:jc w:val="both"/>
      </w:pPr>
    </w:p>
    <w:p>
      <w:pPr>
        <w:pStyle w:val="Heading2"/>
        <w:keepNext/>
        <w:pageBreakBefore w:val="0"/>
        <w:spacing w:before="200" w:after="120"/>
      </w:pPr>
      <w:r>
        <w:rPr>
          <w:rFonts w:ascii="Arial" w:hAnsi="Arial"/>
          <w:b/>
          <w:color w:val="1F3B63"/>
          <w:sz w:val="25"/>
        </w:rPr>
        <w:t>4.2  Features computed</w:t>
      </w:r>
    </w:p>
    <w:p>
      <w:pPr>
        <w:spacing w:before="140" w:after="60"/>
      </w:pPr>
      <w:r>
        <w:rPr>
          <w:rFonts w:ascii="Arial" w:hAnsi="Arial"/>
          <w:b/>
          <w:color w:val="1F3B63"/>
          <w:sz w:val="18"/>
        </w:rPr>
        <w:t>TABLE V. INTERPRETABLE FEATURE FAMILIES</w:t>
      </w:r>
    </w:p>
    <w:tbl>
      <w:tblPr>
        <w:tblStyle w:val="TableGrid"/>
        <w:tblW w:type="auto" w:w="0"/>
        <w:tblLook w:firstColumn="1" w:firstRow="1" w:lastColumn="0" w:lastRow="0" w:noHBand="0" w:noVBand="1" w:val="04A0"/>
        <w:jc w:val="center"/>
        <w:tblBorders>
          <w:top w:val="single" w:sz="4" w:space="0" w:color="9AA7B5"/>
          <w:left w:val="single" w:sz="4" w:space="0" w:color="9AA7B5"/>
          <w:bottom w:val="single" w:sz="4" w:space="0" w:color="9AA7B5"/>
          <w:right w:val="single" w:sz="4" w:space="0" w:color="9AA7B5"/>
          <w:insideH w:val="single" w:sz="4" w:space="0" w:color="9AA7B5"/>
          <w:insideV w:val="single" w:sz="4" w:space="0" w:color="9AA7B5"/>
        </w:tblBorders>
        <w:tblLayout w:type="autofit"/>
      </w:tblPr>
      <w:tblGrid>
        <w:gridCol w:w="1584"/>
        <w:gridCol w:w="1656"/>
        <w:gridCol w:w="2664"/>
        <w:gridCol w:w="3269"/>
      </w:tblGrid>
      <w:tr>
        <w:trPr>
          <w:tblHeader w:val="true"/>
          <w:cantSplit/>
          <w:tblHeader/>
        </w:trPr>
        <w:tc>
          <w:tcPr>
            <w:tcW w:type="dxa" w:w="1584"/>
            <w:shd w:val="clear" w:color="auto" w:fill="1F3B63"/>
            <w:tcMar>
              <w:top w:w="90" w:type="dxa"/>
              <w:start w:w="95" w:type="dxa"/>
              <w:bottom w:w="90" w:type="dxa"/>
              <w:end w:w="95" w:type="dxa"/>
            </w:tcMar>
            <w:vAlign w:val="center"/>
          </w:tcPr>
          <w:p>
            <w:pPr>
              <w:spacing w:after="20" w:before="20" w:line="240" w:lineRule="auto"/>
              <w:jc w:val="center"/>
            </w:pPr>
            <w:r>
              <w:rPr>
                <w:rFonts w:ascii="Arial" w:hAnsi="Arial"/>
                <w:b/>
                <w:color w:val="FFFFFF"/>
                <w:sz w:val="14"/>
              </w:rPr>
              <w:t>Feature</w:t>
            </w:r>
          </w:p>
        </w:tc>
        <w:tc>
          <w:tcPr>
            <w:tcW w:type="dxa" w:w="1656"/>
            <w:shd w:val="clear" w:color="auto" w:fill="1F3B63"/>
            <w:tcMar>
              <w:top w:w="90" w:type="dxa"/>
              <w:start w:w="95" w:type="dxa"/>
              <w:bottom w:w="90" w:type="dxa"/>
              <w:end w:w="95" w:type="dxa"/>
            </w:tcMar>
            <w:vAlign w:val="center"/>
          </w:tcPr>
          <w:p>
            <w:pPr>
              <w:spacing w:after="20" w:before="20" w:line="240" w:lineRule="auto"/>
              <w:jc w:val="center"/>
            </w:pPr>
            <w:r>
              <w:rPr>
                <w:rFonts w:ascii="Arial" w:hAnsi="Arial"/>
                <w:b/>
                <w:color w:val="FFFFFF"/>
                <w:sz w:val="14"/>
              </w:rPr>
              <w:t>Family</w:t>
            </w:r>
          </w:p>
        </w:tc>
        <w:tc>
          <w:tcPr>
            <w:tcW w:type="dxa" w:w="2664"/>
            <w:shd w:val="clear" w:color="auto" w:fill="1F3B63"/>
            <w:tcMar>
              <w:top w:w="90" w:type="dxa"/>
              <w:start w:w="95" w:type="dxa"/>
              <w:bottom w:w="90" w:type="dxa"/>
              <w:end w:w="95" w:type="dxa"/>
            </w:tcMar>
            <w:vAlign w:val="center"/>
          </w:tcPr>
          <w:p>
            <w:pPr>
              <w:spacing w:after="20" w:before="20" w:line="240" w:lineRule="auto"/>
              <w:jc w:val="center"/>
            </w:pPr>
            <w:r>
              <w:rPr>
                <w:rFonts w:ascii="Arial" w:hAnsi="Arial"/>
                <w:b/>
                <w:color w:val="FFFFFF"/>
                <w:sz w:val="14"/>
              </w:rPr>
              <w:t>Definition</w:t>
            </w:r>
          </w:p>
        </w:tc>
        <w:tc>
          <w:tcPr>
            <w:tcW w:type="dxa" w:w="3269"/>
            <w:shd w:val="clear" w:color="auto" w:fill="1F3B63"/>
            <w:tcMar>
              <w:top w:w="90" w:type="dxa"/>
              <w:start w:w="95" w:type="dxa"/>
              <w:bottom w:w="90" w:type="dxa"/>
              <w:end w:w="95" w:type="dxa"/>
            </w:tcMar>
            <w:vAlign w:val="center"/>
          </w:tcPr>
          <w:p>
            <w:pPr>
              <w:spacing w:after="20" w:before="20" w:line="240" w:lineRule="auto"/>
              <w:jc w:val="center"/>
            </w:pPr>
            <w:r>
              <w:rPr>
                <w:rFonts w:ascii="Arial" w:hAnsi="Arial"/>
                <w:b/>
                <w:color w:val="FFFFFF"/>
                <w:sz w:val="14"/>
              </w:rPr>
              <w:t>Interpretive reason and limit</w:t>
            </w:r>
          </w:p>
        </w:tc>
      </w:tr>
      <w:tr>
        <w:trPr>
          <w:cantSplit/>
          <w:cantSplit/>
        </w:trPr>
        <w:tc>
          <w:tcPr>
            <w:tcW w:type="dxa" w:w="1584"/>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Centered RMS</w:t>
            </w:r>
          </w:p>
        </w:tc>
        <w:tc>
          <w:tcPr>
            <w:tcW w:type="dxa" w:w="1656"/>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Amplitude / time</w:t>
            </w:r>
          </w:p>
        </w:tc>
        <w:tc>
          <w:tcPr>
            <w:tcW w:type="dxa" w:w="2664"/>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sqrt(mean(xc²))</w:t>
            </w:r>
          </w:p>
        </w:tc>
        <w:tc>
          <w:tcPr>
            <w:tcW w:type="dxa" w:w="3269"/>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Tracks signal amplitude; may rise, plateau or fall; nonspecific</w:t>
            </w:r>
          </w:p>
        </w:tc>
      </w:tr>
      <w:tr>
        <w:trPr>
          <w:cantSplit/>
          <w:cantSplit/>
        </w:trPr>
        <w:tc>
          <w:tcPr>
            <w:tcW w:type="dxa" w:w="1584"/>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Median frequency (MDF)</w:t>
            </w:r>
          </w:p>
        </w:tc>
        <w:tc>
          <w:tcPr>
            <w:tcW w:type="dxa" w:w="1656"/>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Spectrum</w:t>
            </w:r>
          </w:p>
        </w:tc>
        <w:tc>
          <w:tcPr>
            <w:tcW w:type="dxa" w:w="2664"/>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Half cumulative PSD power, 20–400 Hz</w:t>
            </w:r>
          </w:p>
        </w:tc>
        <w:tc>
          <w:tcPr>
            <w:tcW w:type="dxa" w:w="3269"/>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May shift with conduction and recruitment; also task/filter dependent</w:t>
            </w:r>
          </w:p>
        </w:tc>
      </w:tr>
      <w:tr>
        <w:trPr>
          <w:cantSplit/>
          <w:cantSplit/>
        </w:trPr>
        <w:tc>
          <w:tcPr>
            <w:tcW w:type="dxa" w:w="1584"/>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Mean frequency (MNF)</w:t>
            </w:r>
          </w:p>
        </w:tc>
        <w:tc>
          <w:tcPr>
            <w:tcW w:type="dxa" w:w="1656"/>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Spectrum</w:t>
            </w:r>
          </w:p>
        </w:tc>
        <w:tc>
          <w:tcPr>
            <w:tcW w:type="dxa" w:w="2664"/>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sum(f·P)/sum(P), 20–400 Hz</w:t>
            </w:r>
          </w:p>
        </w:tc>
        <w:tc>
          <w:tcPr>
            <w:tcW w:type="dxa" w:w="3269"/>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Summarizes spectral power distribution; not a standalone fatigue marker</w:t>
            </w:r>
          </w:p>
        </w:tc>
      </w:tr>
      <w:tr>
        <w:trPr>
          <w:cantSplit/>
          <w:cantSplit/>
        </w:trPr>
        <w:tc>
          <w:tcPr>
            <w:tcW w:type="dxa" w:w="1584"/>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Peak frequency</w:t>
            </w:r>
          </w:p>
        </w:tc>
        <w:tc>
          <w:tcPr>
            <w:tcW w:type="dxa" w:w="1656"/>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Spectrum</w:t>
            </w:r>
          </w:p>
        </w:tc>
        <w:tc>
          <w:tcPr>
            <w:tcW w:type="dxa" w:w="2664"/>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Frequency of maximum PSD bin</w:t>
            </w:r>
          </w:p>
        </w:tc>
        <w:tc>
          <w:tcPr>
            <w:tcW w:type="dxa" w:w="3269"/>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Sensitive to spectral shape and noise; exploratory</w:t>
            </w:r>
          </w:p>
        </w:tc>
      </w:tr>
      <w:tr>
        <w:trPr>
          <w:cantSplit/>
          <w:cantSplit/>
        </w:trPr>
        <w:tc>
          <w:tcPr>
            <w:tcW w:type="dxa" w:w="1584"/>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Normalized spectral entropy</w:t>
            </w:r>
          </w:p>
        </w:tc>
        <w:tc>
          <w:tcPr>
            <w:tcW w:type="dxa" w:w="1656"/>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Spectrum</w:t>
            </w:r>
          </w:p>
        </w:tc>
        <w:tc>
          <w:tcPr>
            <w:tcW w:type="dxa" w:w="2664"/>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Normalized entropy of 20–400 Hz PSD</w:t>
            </w:r>
          </w:p>
        </w:tc>
        <w:tc>
          <w:tcPr>
            <w:tcW w:type="dxa" w:w="3269"/>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Describes spectral dispersion; no unique physiological direction</w:t>
            </w:r>
          </w:p>
        </w:tc>
      </w:tr>
      <w:tr>
        <w:trPr>
          <w:cantSplit/>
          <w:cantSplit/>
        </w:trPr>
        <w:tc>
          <w:tcPr>
            <w:tcW w:type="dxa" w:w="1584"/>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Relative band powers</w:t>
            </w:r>
          </w:p>
        </w:tc>
        <w:tc>
          <w:tcPr>
            <w:tcW w:type="dxa" w:w="1656"/>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Spectrum</w:t>
            </w:r>
          </w:p>
        </w:tc>
        <w:tc>
          <w:tcPr>
            <w:tcW w:type="dxa" w:w="2664"/>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Power in 20–60, 60–150, 150–250, 250–400 Hz / total</w:t>
            </w:r>
          </w:p>
        </w:tc>
        <w:tc>
          <w:tcPr>
            <w:tcW w:type="dxa" w:w="3269"/>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Describes frequency redistribution; sensitive to band/filter choice</w:t>
            </w:r>
          </w:p>
        </w:tc>
      </w:tr>
      <w:tr>
        <w:trPr>
          <w:cantSplit/>
          <w:cantSplit/>
        </w:trPr>
        <w:tc>
          <w:tcPr>
            <w:tcW w:type="dxa" w:w="1584"/>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Waveform descriptors</w:t>
            </w:r>
          </w:p>
        </w:tc>
        <w:tc>
          <w:tcPr>
            <w:tcW w:type="dxa" w:w="1656"/>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Time-domain</w:t>
            </w:r>
          </w:p>
        </w:tc>
        <w:tc>
          <w:tcPr>
            <w:tcW w:type="dxa" w:w="2664"/>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Distribution, amplitude quantiles, line length and crossings</w:t>
            </w:r>
          </w:p>
        </w:tc>
        <w:tc>
          <w:tcPr>
            <w:tcW w:type="dxa" w:w="3269"/>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Characterize observed waveform; affected by contraction and acquisition</w:t>
            </w:r>
          </w:p>
        </w:tc>
      </w:tr>
      <w:tr>
        <w:trPr>
          <w:cantSplit/>
          <w:cantSplit/>
        </w:trPr>
        <w:tc>
          <w:tcPr>
            <w:tcW w:type="dxa" w:w="1584"/>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Between-window IQR</w:t>
            </w:r>
          </w:p>
        </w:tc>
        <w:tc>
          <w:tcPr>
            <w:tcW w:type="dxa" w:w="1656"/>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Inter-window variability</w:t>
            </w:r>
          </w:p>
        </w:tc>
        <w:tc>
          <w:tcPr>
            <w:tcW w:type="dxa" w:w="2664"/>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IQR of RMS and spectral descriptors in contiguous windows</w:t>
            </w:r>
          </w:p>
        </w:tc>
        <w:tc>
          <w:tcPr>
            <w:tcW w:type="dxa" w:w="3269"/>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Quantifies local variability; not a wavelet or validated fatigue index</w:t>
            </w:r>
          </w:p>
        </w:tc>
      </w:tr>
    </w:tbl>
    <w:p>
      <w:pPr>
        <w:widowControl/>
        <w:spacing w:before="60" w:after="100"/>
      </w:pPr>
      <w:r>
        <w:rPr>
          <w:rFonts w:ascii="Arial" w:hAnsi="Arial"/>
          <w:color w:val="222222"/>
          <w:sz w:val="18"/>
        </w:rPr>
        <w:t>IIR filters were applied forward and backward to each contiguous run with reflect padding; FIR used symmetric convolution with reflect padding and a 50-sample edge mask. No run was bridged across a gap and no interpolation, rectification, MVC normalization or conversion to physical voltage was applied. For the interior of a forward–backward IIR, H_fb(e^jω)=H(e^jω)H(e^−jω), giving zero net phase and magnitude |H|²; a one-pass Butterworth −3.01 dB corner thus becomes approximately −6.02 dB after two passes. Padding limits startup transients but does not recover samples at a discontinuity; edge samples were excluded from comparisons. The 101-tap linear-phase FIR has 50 samples of one-pass group delay, removed by centered symmetric application; its transition-band ripple and attenuation are visible in the measured response plots. A 50/60 Hz notch (candidate Q=30) was not applied because the prespecified line screen did not justify it [1], [35]–[44].</w:t>
      </w:r>
    </w:p>
    <w:p>
      <w:pPr>
        <w:pageBreakBefore w:val="0"/>
        <w:spacing w:after="160" w:before="0"/>
        <w:jc w:val="both"/>
      </w:pPr>
    </w:p>
    <w:p>
      <w:pPr>
        <w:pStyle w:val="Heading2"/>
        <w:keepNext/>
        <w:pageBreakBefore w:val="0"/>
        <w:spacing w:before="200" w:after="120"/>
      </w:pPr>
      <w:r>
        <w:rPr>
          <w:rFonts w:ascii="Arial" w:hAnsi="Arial"/>
          <w:b/>
          <w:color w:val="1F3B63"/>
          <w:sz w:val="25"/>
        </w:rPr>
        <w:t>4.3  Feature behaviour across the set</w:t>
      </w:r>
    </w:p>
    <w:tbl>
      <w:tblPr>
        <w:tblStyle w:val="TableGrid"/>
        <w:tblW w:type="auto" w:w="0"/>
        <w:tblLook w:firstColumn="1" w:firstRow="1" w:lastColumn="0" w:lastRow="0" w:noHBand="0" w:noVBand="1" w:val="04A0"/>
        <w:tblLayout w:type="fixed"/>
        <w:tblBorders>
          <w:top w:val="single" w:sz="6" w:space="0" w:color="C9D2DC"/>
          <w:left w:val="single" w:sz="6" w:space="0" w:color="C9D2DC"/>
          <w:bottom w:val="single" w:sz="6" w:space="0" w:color="C9D2DC"/>
          <w:right w:val="single" w:sz="6" w:space="0" w:color="C9D2DC"/>
          <w:insideH w:val="single" w:sz="6" w:space="0" w:color="C9D2DC"/>
          <w:insideV w:val="single" w:sz="6" w:space="0" w:color="C9D2DC"/>
        </w:tblBorders>
      </w:tblPr>
      <w:tblGrid>
        <w:gridCol w:w="9173"/>
      </w:tblGrid>
      <w:tr>
        <w:trPr>
          <w:cantSplit/>
        </w:trPr>
        <w:tc>
          <w:tcPr>
            <w:tcW w:type="dxa" w:w="9173"/>
            <w:shd w:val="clear" w:color="auto" w:fill="FAFBFC"/>
            <w:tcMar>
              <w:top w:w="520" w:type="dxa"/>
              <w:start w:w="130" w:type="dxa"/>
              <w:bottom w:w="520" w:type="dxa"/>
              <w:end w:w="130" w:type="dxa"/>
            </w:tcMar>
          </w:tcPr>
          <w:p>
            <w:pPr>
              <w:spacing w:after="60" w:before="60"/>
              <w:jc w:val="center"/>
            </w:pPr>
            <w:r>
              <w:drawing>
                <wp:inline xmlns:a="http://schemas.openxmlformats.org/drawingml/2006/main" xmlns:pic="http://schemas.openxmlformats.org/drawingml/2006/picture">
                  <wp:extent cx="5532120" cy="2089912"/>
                  <wp:docPr id="2" name="Picture 2"/>
                  <wp:cNvGraphicFramePr>
                    <a:graphicFrameLocks noChangeAspect="1"/>
                  </wp:cNvGraphicFramePr>
                  <a:graphic>
                    <a:graphicData uri="http://schemas.openxmlformats.org/drawingml/2006/picture">
                      <pic:pic>
                        <pic:nvPicPr>
                          <pic:cNvPr id="0" name="BILATERAL_FEATURE_TRAJECTORIES_F31_20261018.png"/>
                          <pic:cNvPicPr/>
                        </pic:nvPicPr>
                        <pic:blipFill>
                          <a:blip r:embed="rId12"/>
                          <a:stretch>
                            <a:fillRect/>
                          </a:stretch>
                        </pic:blipFill>
                        <pic:spPr>
                          <a:xfrm>
                            <a:off x="0" y="0"/>
                            <a:ext cx="5532120" cy="2089912"/>
                          </a:xfrm>
                          <a:prstGeom prst="rect"/>
                        </pic:spPr>
                      </pic:pic>
                    </a:graphicData>
                  </a:graphic>
                </wp:inline>
              </w:drawing>
            </w:r>
          </w:p>
        </w:tc>
      </w:tr>
    </w:tbl>
    <w:p>
      <w:pPr>
        <w:pageBreakBefore w:val="0"/>
        <w:widowControl/>
        <w:spacing w:after="160"/>
        <w:jc w:val="center"/>
      </w:pPr>
      <w:r>
        <w:t>Figure 1. RMS, MDF and MNF trajectories by recorded leg in HP20. RMS is relative to each recording’s whole-record median; MDF/MNF differences reference the first time decile. These are not rest baselines or fatigue events.</w:t>
      </w:r>
    </w:p>
    <w:p>
      <w:pPr>
        <w:pStyle w:val="Heading2"/>
        <w:keepNext/>
        <w:pageBreakBefore w:val="0"/>
        <w:widowControl/>
        <w:spacing w:before="200" w:after="120"/>
      </w:pPr>
      <w:r>
        <w:t>4.4  RMS, MDF and MNF trajectories by recorded leg</w:t>
      </w:r>
    </w:p>
    <w:p>
      <w:pPr>
        <w:pageBreakBefore w:val="0"/>
        <w:widowControl/>
        <w:spacing w:after="40"/>
      </w:pPr>
      <w:r>
        <w:t>For each complete 1 s window with 50% overlap, the centered waveform is x_c[n]=x[n]−x̄. Its DFT is X[k]=Σ_{n=0}^{N−1}x_c[n]w_Hann[n]e^(−j2πkn/N). The one-sided periodogram is P[k]=c_k|X[k]|²/(f_sΣ_n w_Hann[n]²), where c_k doubles interior positive-frequency bins. RMS=√(Σ_n x_c[n]²/N); MNF=Σ_{f=20}^{400}fP(f)/ΣP(f); MDF satisfies Σ_{20≤f≤MDF}P(f)=0.5Σ_{20≤f≤400}P(f), with interpolation between adjacent bins. Frequencies are in Hz, local amplitude in ADC counts and PSD in ADC²/Hz. An ordinary least-squares slope β₁=Σ(t_j−t̄)(y_j−ȳ)/Σ(t_j−t̄)² summarizes descriptor change per minute. A negative β₁ is a direction of change, not an onset detector. No universal percentage or change point was imposed.</w:t>
      </w:r>
    </w:p>
    <w:p>
      <w:pPr>
        <w:pageBreakBefore w:val="0"/>
        <w:spacing w:after="40"/>
      </w:pPr>
    </w:p>
    <w:p>
      <w:pPr>
        <w:pageBreakBefore w:val="0"/>
        <w:spacing w:after="40"/>
      </w:pPr>
    </w:p>
    <w:p>
      <w:pPr>
        <w:pageBreakBefore w:val="0"/>
        <w:spacing w:after="40"/>
      </w:pPr>
    </w:p>
    <w:p>
      <w:pPr>
        <w:pageBreakBefore w:val="0"/>
        <w:spacing w:after="120" w:before="0"/>
        <w:jc w:val="both"/>
      </w:pPr>
    </w:p>
    <w:p>
      <w:pPr>
        <w:pStyle w:val="Heading2"/>
        <w:keepNext/>
        <w:pageBreakBefore w:val="0"/>
        <w:spacing w:before="200" w:after="120"/>
      </w:pPr>
      <w:r>
        <w:rPr>
          <w:rFonts w:ascii="Arial" w:hAnsi="Arial"/>
          <w:b/>
          <w:color w:val="1F3B63"/>
          <w:sz w:val="25"/>
        </w:rPr>
        <w:t>4.5  Feature selection or reduction</w:t>
      </w:r>
    </w:p>
    <w:p>
      <w:pPr>
        <w:pageBreakBefore w:val="0"/>
        <w:widowControl/>
        <w:spacing w:after="40"/>
      </w:pPr>
      <w:r>
        <w:t>Post hoc lateral summaries use the global nested selector’s already frozen outer predictions. At HP20, the median participant slope for the left leg was RMS +17.02 ADC counts/min (95% CI 8.38 to 41.11; 13/14 positive), MDF −41.66 Hz/min (−77.15 to −22.50; 14/14 negative) and MNF −43.69 Hz/min (−83.64 to −30.88; 14/14 negative). For the right leg, the slopes were RMS +17.83 ADC counts/min (5.11 to 47.50; 12/15 positive), MDF −38.36 Hz/min (−93.54 to +4.29; 11/15 negative) and MNF −38.99 Hz/min (−85.79 to −9.74; 13/15 negative). The traces are non-monotonic; RMS falls sharply in the final time bin and spectral descriptors rebound. These are time-associated signal trends, not fatigue estimates.</w:t>
      </w:r>
    </w:p>
    <w:p>
      <w:pPr>
        <w:pageBreakBefore w:val="0"/>
        <w:spacing w:after="40"/>
      </w:pPr>
    </w:p>
    <w:p>
      <w:pPr>
        <w:pageBreakBefore w:val="0"/>
        <w:spacing w:after="40"/>
      </w:pPr>
    </w:p>
    <w:p>
      <w:pPr>
        <w:pageBreakBefore w:val="0"/>
        <w:spacing w:after="120" w:before="0"/>
        <w:jc w:val="both"/>
      </w:pPr>
    </w:p>
    <w:p>
      <w:pPr>
        <w:pStyle w:val="Heading1"/>
        <w:keepNext/>
        <w:pageBreakBefore w:val="0"/>
        <w:spacing w:before="280" w:after="120"/>
      </w:pPr>
      <w:r>
        <w:rPr>
          <w:rFonts w:ascii="Arial" w:hAnsi="Arial"/>
          <w:b/>
          <w:color w:val="1F3B63"/>
          <w:sz w:val="30"/>
        </w:rPr>
        <w:t>5.  Machine learning methodology</w:t>
      </w:r>
    </w:p>
    <w:p>
      <w:pPr>
        <w:pStyle w:val="Heading2"/>
        <w:keepNext/>
        <w:pageBreakBefore w:val="0"/>
        <w:spacing w:before="200" w:after="120"/>
      </w:pPr>
      <w:r>
        <w:rPr>
          <w:rFonts w:ascii="Arial" w:hAnsi="Arial"/>
          <w:b/>
          <w:color w:val="1F3B63"/>
          <w:sz w:val="25"/>
        </w:rPr>
        <w:t>5.1  Models evaluated</w:t>
      </w:r>
    </w:p>
    <w:p>
      <w:pPr>
        <w:spacing w:before="140" w:after="60"/>
      </w:pPr>
      <w:r>
        <w:rPr>
          <w:rFonts w:ascii="Arial" w:hAnsi="Arial"/>
          <w:b/>
          <w:color w:val="1F3B63"/>
          <w:sz w:val="18"/>
        </w:rPr>
        <w:t>TABLE VI. ELEVEN MODEL FAMILIES AND INNER-SEARCH SETTINGS</w:t>
      </w:r>
    </w:p>
    <w:tbl>
      <w:tblPr>
        <w:tblStyle w:val="TableGrid"/>
        <w:tblW w:type="auto" w:w="0"/>
        <w:tblLook w:firstColumn="1" w:firstRow="1" w:lastColumn="0" w:lastRow="0" w:noHBand="0" w:noVBand="1" w:val="04A0"/>
        <w:jc w:val="center"/>
        <w:tblBorders>
          <w:top w:val="single" w:sz="4" w:space="0" w:color="9AA7B5"/>
          <w:left w:val="single" w:sz="4" w:space="0" w:color="9AA7B5"/>
          <w:bottom w:val="single" w:sz="4" w:space="0" w:color="9AA7B5"/>
          <w:right w:val="single" w:sz="4" w:space="0" w:color="9AA7B5"/>
          <w:insideH w:val="single" w:sz="4" w:space="0" w:color="9AA7B5"/>
          <w:insideV w:val="single" w:sz="4" w:space="0" w:color="9AA7B5"/>
        </w:tblBorders>
        <w:tblLayout w:type="autofit"/>
      </w:tblPr>
      <w:tblGrid>
        <w:gridCol w:w="1872"/>
        <w:gridCol w:w="2520"/>
        <w:gridCol w:w="2664"/>
        <w:gridCol w:w="2117"/>
      </w:tblGrid>
      <w:tr>
        <w:trPr>
          <w:tblHeader w:val="true"/>
          <w:cantSplit/>
          <w:tblHeader/>
        </w:trPr>
        <w:tc>
          <w:tcPr>
            <w:tcW w:type="dxa" w:w="1872"/>
            <w:shd w:val="clear" w:color="auto" w:fill="1F3B63"/>
            <w:tcMar>
              <w:top w:w="90" w:type="dxa"/>
              <w:start w:w="95" w:type="dxa"/>
              <w:bottom w:w="90" w:type="dxa"/>
              <w:end w:w="95" w:type="dxa"/>
            </w:tcMar>
            <w:vAlign w:val="center"/>
          </w:tcPr>
          <w:p>
            <w:pPr>
              <w:spacing w:after="20" w:before="20" w:line="240" w:lineRule="auto"/>
              <w:jc w:val="center"/>
            </w:pPr>
            <w:r>
              <w:rPr>
                <w:rFonts w:ascii="Arial" w:hAnsi="Arial"/>
                <w:b/>
                <w:color w:val="FFFFFF"/>
                <w:sz w:val="14"/>
              </w:rPr>
              <w:t>Model family</w:t>
            </w:r>
          </w:p>
        </w:tc>
        <w:tc>
          <w:tcPr>
            <w:tcW w:type="dxa" w:w="2520"/>
            <w:shd w:val="clear" w:color="auto" w:fill="1F3B63"/>
            <w:tcMar>
              <w:top w:w="90" w:type="dxa"/>
              <w:start w:w="95" w:type="dxa"/>
              <w:bottom w:w="90" w:type="dxa"/>
              <w:end w:w="95" w:type="dxa"/>
            </w:tcMar>
            <w:vAlign w:val="center"/>
          </w:tcPr>
          <w:p>
            <w:pPr>
              <w:spacing w:after="20" w:before="20" w:line="240" w:lineRule="auto"/>
              <w:jc w:val="center"/>
            </w:pPr>
            <w:r>
              <w:rPr>
                <w:rFonts w:ascii="Arial" w:hAnsi="Arial"/>
                <w:b/>
                <w:color w:val="FFFFFF"/>
                <w:sz w:val="14"/>
              </w:rPr>
              <w:t>Role</w:t>
            </w:r>
          </w:p>
        </w:tc>
        <w:tc>
          <w:tcPr>
            <w:tcW w:type="dxa" w:w="2664"/>
            <w:shd w:val="clear" w:color="auto" w:fill="1F3B63"/>
            <w:tcMar>
              <w:top w:w="90" w:type="dxa"/>
              <w:start w:w="95" w:type="dxa"/>
              <w:bottom w:w="90" w:type="dxa"/>
              <w:end w:w="95" w:type="dxa"/>
            </w:tcMar>
            <w:vAlign w:val="center"/>
          </w:tcPr>
          <w:p>
            <w:pPr>
              <w:spacing w:after="20" w:before="20" w:line="240" w:lineRule="auto"/>
              <w:jc w:val="center"/>
            </w:pPr>
            <w:r>
              <w:rPr>
                <w:rFonts w:ascii="Arial" w:hAnsi="Arial"/>
                <w:b/>
                <w:color w:val="FFFFFF"/>
                <w:sz w:val="14"/>
              </w:rPr>
              <w:t>Hyper-parameters searched</w:t>
            </w:r>
          </w:p>
        </w:tc>
        <w:tc>
          <w:tcPr>
            <w:tcW w:type="dxa" w:w="2117"/>
            <w:shd w:val="clear" w:color="auto" w:fill="1F3B63"/>
            <w:tcMar>
              <w:top w:w="90" w:type="dxa"/>
              <w:start w:w="95" w:type="dxa"/>
              <w:bottom w:w="90" w:type="dxa"/>
              <w:end w:w="95" w:type="dxa"/>
            </w:tcMar>
            <w:vAlign w:val="center"/>
          </w:tcPr>
          <w:p>
            <w:pPr>
              <w:spacing w:after="20" w:before="20" w:line="240" w:lineRule="auto"/>
              <w:jc w:val="center"/>
            </w:pPr>
            <w:r>
              <w:rPr>
                <w:rFonts w:ascii="Arial" w:hAnsi="Arial"/>
                <w:b/>
                <w:color w:val="FFFFFF"/>
                <w:sz w:val="14"/>
              </w:rPr>
              <w:t>Selection method</w:t>
            </w:r>
          </w:p>
        </w:tc>
      </w:tr>
      <w:tr>
        <w:trPr>
          <w:cantSplit/>
          <w:cantSplit/>
        </w:trPr>
        <w:tc>
          <w:tcPr>
            <w:tcW w:type="dxa" w:w="1872"/>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Tied-prior baseline</w:t>
            </w:r>
          </w:p>
        </w:tc>
        <w:tc>
          <w:tcPr>
            <w:tcW w:type="dxa" w:w="2520"/>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Reference floor</w:t>
            </w:r>
          </w:p>
        </w:tc>
        <w:tc>
          <w:tcPr>
            <w:tcW w:type="dxa" w:w="2664"/>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Fixed equal priors 1/3; first-class tie break</w:t>
            </w:r>
          </w:p>
        </w:tc>
        <w:tc>
          <w:tcPr>
            <w:tcW w:type="dxa" w:w="2117"/>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Fixed; no fitting</w:t>
            </w:r>
          </w:p>
        </w:tc>
      </w:tr>
      <w:tr>
        <w:trPr>
          <w:cantSplit/>
          <w:cantSplit/>
        </w:trPr>
        <w:tc>
          <w:tcPr>
            <w:tcW w:type="dxa" w:w="1872"/>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Nearest centroid</w:t>
            </w:r>
          </w:p>
        </w:tc>
        <w:tc>
          <w:tcPr>
            <w:tcW w:type="dxa" w:w="2520"/>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Simple distance baseline</w:t>
            </w:r>
          </w:p>
        </w:tc>
        <w:tc>
          <w:tcPr>
            <w:tcW w:type="dxa" w:w="2664"/>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Fixed</w:t>
            </w:r>
          </w:p>
        </w:tc>
        <w:tc>
          <w:tcPr>
            <w:tcW w:type="dxa" w:w="2117"/>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Grouped inner macro-F1</w:t>
            </w:r>
          </w:p>
        </w:tc>
      </w:tr>
      <w:tr>
        <w:trPr>
          <w:cantSplit/>
          <w:cantSplit/>
        </w:trPr>
        <w:tc>
          <w:tcPr>
            <w:tcW w:type="dxa" w:w="1872"/>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K-nearest neighbours</w:t>
            </w:r>
          </w:p>
        </w:tc>
        <w:tc>
          <w:tcPr>
            <w:tcW w:type="dxa" w:w="2520"/>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Local nonlinear baseline</w:t>
            </w:r>
          </w:p>
        </w:tc>
        <w:tc>
          <w:tcPr>
            <w:tcW w:type="dxa" w:w="2664"/>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k ∈ {3, 5, 9}</w:t>
            </w:r>
          </w:p>
        </w:tc>
        <w:tc>
          <w:tcPr>
            <w:tcW w:type="dxa" w:w="2117"/>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Grouped inner macro-F1</w:t>
            </w:r>
          </w:p>
        </w:tc>
      </w:tr>
      <w:tr>
        <w:trPr>
          <w:cantSplit/>
          <w:cantSplit/>
        </w:trPr>
        <w:tc>
          <w:tcPr>
            <w:tcW w:type="dxa" w:w="1872"/>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Ridge classifier</w:t>
            </w:r>
          </w:p>
        </w:tc>
        <w:tc>
          <w:tcPr>
            <w:tcW w:type="dxa" w:w="2520"/>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Regularized linear baseline</w:t>
            </w:r>
          </w:p>
        </w:tc>
        <w:tc>
          <w:tcPr>
            <w:tcW w:type="dxa" w:w="2664"/>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alpha ∈ {0.1, 1, 10}</w:t>
            </w:r>
          </w:p>
        </w:tc>
        <w:tc>
          <w:tcPr>
            <w:tcW w:type="dxa" w:w="2117"/>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Grouped inner macro-F1</w:t>
            </w:r>
          </w:p>
        </w:tc>
      </w:tr>
      <w:tr>
        <w:trPr>
          <w:cantSplit/>
          <w:cantSplit/>
        </w:trPr>
        <w:tc>
          <w:tcPr>
            <w:tcW w:type="dxa" w:w="1872"/>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Multinomial logistic</w:t>
            </w:r>
          </w:p>
        </w:tc>
        <w:tc>
          <w:tcPr>
            <w:tcW w:type="dxa" w:w="2520"/>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Linear probabilistic family</w:t>
            </w:r>
          </w:p>
        </w:tc>
        <w:tc>
          <w:tcPr>
            <w:tcW w:type="dxa" w:w="2664"/>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C ∈ {0.01, 0.1, 1}</w:t>
            </w:r>
          </w:p>
        </w:tc>
        <w:tc>
          <w:tcPr>
            <w:tcW w:type="dxa" w:w="2117"/>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Grouped inner macro-F1</w:t>
            </w:r>
          </w:p>
        </w:tc>
      </w:tr>
      <w:tr>
        <w:trPr>
          <w:cantSplit/>
          <w:cantSplit/>
        </w:trPr>
        <w:tc>
          <w:tcPr>
            <w:tcW w:type="dxa" w:w="1872"/>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LDA with shrinkage</w:t>
            </w:r>
          </w:p>
        </w:tc>
        <w:tc>
          <w:tcPr>
            <w:tcW w:type="dxa" w:w="2520"/>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Linear discriminant family</w:t>
            </w:r>
          </w:p>
        </w:tc>
        <w:tc>
          <w:tcPr>
            <w:tcW w:type="dxa" w:w="2664"/>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shrinkage ∈ {0.1, 0.5, 0.9}</w:t>
            </w:r>
          </w:p>
        </w:tc>
        <w:tc>
          <w:tcPr>
            <w:tcW w:type="dxa" w:w="2117"/>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Grouped inner macro-F1</w:t>
            </w:r>
          </w:p>
        </w:tc>
      </w:tr>
      <w:tr>
        <w:trPr>
          <w:cantSplit/>
          <w:cantSplit/>
        </w:trPr>
        <w:tc>
          <w:tcPr>
            <w:tcW w:type="dxa" w:w="1872"/>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Linear SVM</w:t>
            </w:r>
          </w:p>
        </w:tc>
        <w:tc>
          <w:tcPr>
            <w:tcW w:type="dxa" w:w="2520"/>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Large-margin linear classifier</w:t>
            </w:r>
          </w:p>
        </w:tc>
        <w:tc>
          <w:tcPr>
            <w:tcW w:type="dxa" w:w="2664"/>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C ∈ {0.1, 1, 10}</w:t>
            </w:r>
          </w:p>
        </w:tc>
        <w:tc>
          <w:tcPr>
            <w:tcW w:type="dxa" w:w="2117"/>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Grouped inner macro-F1</w:t>
            </w:r>
          </w:p>
        </w:tc>
      </w:tr>
      <w:tr>
        <w:trPr>
          <w:cantSplit/>
          <w:cantSplit/>
        </w:trPr>
        <w:tc>
          <w:tcPr>
            <w:tcW w:type="dxa" w:w="1872"/>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Random forest</w:t>
            </w:r>
          </w:p>
        </w:tc>
        <w:tc>
          <w:tcPr>
            <w:tcW w:type="dxa" w:w="2520"/>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Small tree ensemble</w:t>
            </w:r>
          </w:p>
        </w:tc>
        <w:tc>
          <w:tcPr>
            <w:tcW w:type="dxa" w:w="2664"/>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(8 trees, depth 2) or (12, depth 3); min leaf 2</w:t>
            </w:r>
          </w:p>
        </w:tc>
        <w:tc>
          <w:tcPr>
            <w:tcW w:type="dxa" w:w="2117"/>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Grouped inner macro-F1</w:t>
            </w:r>
          </w:p>
        </w:tc>
      </w:tr>
      <w:tr>
        <w:trPr>
          <w:cantSplit/>
          <w:cantSplit/>
        </w:trPr>
        <w:tc>
          <w:tcPr>
            <w:tcW w:type="dxa" w:w="1872"/>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Gradient-boosted stumps</w:t>
            </w:r>
          </w:p>
        </w:tc>
        <w:tc>
          <w:tcPr>
            <w:tcW w:type="dxa" w:w="2520"/>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Shallow boosted ensemble</w:t>
            </w:r>
          </w:p>
        </w:tc>
        <w:tc>
          <w:tcPr>
            <w:tcW w:type="dxa" w:w="2664"/>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learning rate 0.1; 6 or 12 estimators</w:t>
            </w:r>
          </w:p>
        </w:tc>
        <w:tc>
          <w:tcPr>
            <w:tcW w:type="dxa" w:w="2117"/>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Grouped inner macro-F1</w:t>
            </w:r>
          </w:p>
        </w:tc>
      </w:tr>
      <w:tr>
        <w:trPr>
          <w:cantSplit/>
          <w:cantSplit/>
        </w:trPr>
        <w:tc>
          <w:tcPr>
            <w:tcW w:type="dxa" w:w="1872"/>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Logistic RMS+MDF</w:t>
            </w:r>
          </w:p>
        </w:tc>
        <w:tc>
          <w:tcPr>
            <w:tcW w:type="dxa" w:w="2520"/>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Two-feature linear baseline</w:t>
            </w:r>
          </w:p>
        </w:tc>
        <w:tc>
          <w:tcPr>
            <w:tcW w:type="dxa" w:w="2664"/>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RMS and MDF; C ∈ {0.01, 0.1, 1}</w:t>
            </w:r>
          </w:p>
        </w:tc>
        <w:tc>
          <w:tcPr>
            <w:tcW w:type="dxa" w:w="2117"/>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Grouped inner macro-F1</w:t>
            </w:r>
          </w:p>
        </w:tc>
      </w:tr>
      <w:tr>
        <w:trPr>
          <w:cantSplit/>
          <w:cantSplit/>
        </w:trPr>
        <w:tc>
          <w:tcPr>
            <w:tcW w:type="dxa" w:w="1872"/>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LDA RMS+MDF</w:t>
            </w:r>
          </w:p>
        </w:tc>
        <w:tc>
          <w:tcPr>
            <w:tcW w:type="dxa" w:w="2520"/>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Two-feature discriminant baseline</w:t>
            </w:r>
          </w:p>
        </w:tc>
        <w:tc>
          <w:tcPr>
            <w:tcW w:type="dxa" w:w="2664"/>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RMS and MDF; shrinkage ∈ {0.1, 0.5, 0.9}</w:t>
            </w:r>
          </w:p>
        </w:tc>
        <w:tc>
          <w:tcPr>
            <w:tcW w:type="dxa" w:w="2117"/>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Grouped inner macro-F1</w:t>
            </w:r>
          </w:p>
        </w:tc>
      </w:tr>
    </w:tbl>
    <w:p>
      <w:pPr>
        <w:pageBreakBefore w:val="0"/>
        <w:spacing w:after="160" w:before="0"/>
        <w:jc w:val="both"/>
      </w:pPr>
    </w:p>
    <w:p>
      <w:pPr>
        <w:pStyle w:val="Heading2"/>
        <w:keepNext/>
        <w:pageBreakBefore w:val="0"/>
        <w:spacing w:before="200" w:after="120"/>
      </w:pPr>
      <w:r>
        <w:rPr>
          <w:rFonts w:ascii="Arial" w:hAnsi="Arial"/>
          <w:b/>
          <w:color w:val="1F3B63"/>
          <w:sz w:val="25"/>
        </w:rPr>
        <w:t>5.2  Validation scheme</w:t>
      </w:r>
    </w:p>
    <w:p>
      <w:pPr>
        <w:pageBreakBefore w:val="0"/>
        <w:widowControl/>
        <w:spacing w:after="40"/>
      </w:pPr>
      <w:r>
        <w:t>The candidate predictors comprised 15 time/distribution descriptors, eight spectral descriptors and eight between-window IQR descriptors, evaluated as seven fixed feature-family combinations. The set includes mean, standard deviation, RMS, absolute and median values, quantiles, peak-to-peak, line length, median crossings, skewness, excess kurtosis, MDF, MNF, peak frequency, normalized spectral entropy, relative band powers and IQRs of RMS/spectral quantities. Standardization, model selection and feature-family selection occurred only inside grouped training folds. No global feature selection was fitted across all participants.</w:t>
      </w:r>
    </w:p>
    <w:p>
      <w:pPr>
        <w:pageBreakBefore w:val="0"/>
        <w:spacing w:after="40"/>
      </w:pPr>
    </w:p>
    <w:p>
      <w:pPr>
        <w:pageBreakBefore w:val="0"/>
        <w:spacing w:after="40"/>
      </w:pPr>
    </w:p>
    <w:p>
      <w:pPr>
        <w:pageBreakBefore w:val="0"/>
        <w:spacing w:after="40"/>
      </w:pPr>
    </w:p>
    <w:p>
      <w:pPr>
        <w:pageBreakBefore w:val="0"/>
        <w:spacing w:after="120" w:before="0"/>
        <w:jc w:val="both"/>
      </w:pPr>
    </w:p>
    <w:tbl>
      <w:tblPr>
        <w:tblStyle w:val="TableGrid"/>
        <w:tblW w:type="auto" w:w="0"/>
        <w:tblLook w:firstColumn="1" w:firstRow="1" w:lastColumn="0" w:lastRow="0" w:noHBand="0" w:noVBand="1" w:val="04A0"/>
        <w:tblLayout w:type="fixed"/>
        <w:tblBorders>
          <w:top w:val="single" w:sz="6" w:space="0" w:color="C9D2DC"/>
          <w:left w:val="single" w:sz="6" w:space="0" w:color="C9D2DC"/>
          <w:bottom w:val="single" w:sz="6" w:space="0" w:color="C9D2DC"/>
          <w:right w:val="single" w:sz="6" w:space="0" w:color="C9D2DC"/>
          <w:insideH w:val="single" w:sz="6" w:space="0" w:color="C9D2DC"/>
          <w:insideV w:val="single" w:sz="6" w:space="0" w:color="C9D2DC"/>
        </w:tblBorders>
      </w:tblPr>
      <w:tblGrid>
        <w:gridCol w:w="9173"/>
      </w:tblGrid>
      <w:tr>
        <w:trPr>
          <w:cantSplit/>
        </w:trPr>
        <w:tc>
          <w:tcPr>
            <w:tcW w:type="dxa" w:w="9173"/>
            <w:shd w:val="clear" w:color="auto" w:fill="FAFBFC"/>
            <w:tcMar>
              <w:top w:w="520" w:type="dxa"/>
              <w:start w:w="130" w:type="dxa"/>
              <w:bottom w:w="520" w:type="dxa"/>
              <w:end w:w="130" w:type="dxa"/>
            </w:tcMar>
            <w:vAlign w:val="center"/>
          </w:tcPr>
          <w:p>
            <w:pPr>
              <w:spacing w:after="120" w:before="0" w:line="252" w:lineRule="auto"/>
              <w:jc w:val="center"/>
            </w:pPr>
            <w:r>
              <w:rPr>
                <w:rFonts w:ascii="Arial" w:hAnsi="Arial"/>
                <w:b/>
                <w:color w:val="17365D"/>
                <w:sz w:val="18"/>
              </w:rPr>
              <w:t>Outer loop: leave one complete participant group out; repeat for all 15 groups.</w:t>
            </w:r>
          </w:p>
          <w:p>
            <w:pPr>
              <w:spacing w:after="120" w:line="252" w:lineRule="auto"/>
            </w:pPr>
            <w:r>
              <w:rPr>
                <w:rFonts w:ascii="Arial" w:hAnsi="Arial"/>
                <w:b w:val="0"/>
                <w:color w:val="222222"/>
                <w:sz w:val="18"/>
              </w:rPr>
              <w:t>Training side: the other 14 groups only. All series, left/right recordings and segments from the held-out group stay outside fitting.</w:t>
            </w:r>
          </w:p>
          <w:p>
            <w:pPr>
              <w:spacing w:after="120" w:line="252" w:lineRule="auto"/>
            </w:pPr>
            <w:r>
              <w:rPr>
                <w:rFonts w:ascii="Arial" w:hAnsi="Arial"/>
                <w:b w:val="0"/>
                <w:color w:val="222222"/>
                <w:sz w:val="18"/>
              </w:rPr>
              <w:t>Inner loop: four participant-grouped folds select among 325 fixed model × feature-family × filter configurations using training-side macro-F1.</w:t>
            </w:r>
          </w:p>
          <w:p>
            <w:pPr>
              <w:spacing w:after="120" w:line="252" w:lineRule="auto"/>
            </w:pPr>
            <w:r>
              <w:rPr>
                <w:rFonts w:ascii="Arial" w:hAnsi="Arial"/>
                <w:b w:val="0"/>
                <w:color w:val="222222"/>
                <w:sz w:val="18"/>
              </w:rPr>
              <w:t>Refit the selected configuration on all 14 outer-training groups; evaluate once on the held-out participant and retain its out-of-fold predictions.</w:t>
            </w:r>
          </w:p>
          <w:p>
            <w:pPr>
              <w:spacing w:after="120" w:line="252" w:lineRule="auto"/>
            </w:pPr>
            <w:r>
              <w:rPr>
                <w:rFonts w:ascii="Arial" w:hAnsi="Arial"/>
                <w:b/>
                <w:color w:val="17365D"/>
                <w:sz w:val="18"/>
              </w:rPr>
              <w:t>After 15 folds, aggregate the held-out predictions. The outer test fold never selects a model, feature family, filter, threshold or hyper-parameter.</w:t>
            </w:r>
          </w:p>
        </w:tc>
      </w:tr>
    </w:tbl>
    <w:p>
      <w:pPr>
        <w:pageBreakBefore w:val="0"/>
        <w:widowControl/>
        <w:spacing w:after="160"/>
        <w:jc w:val="center"/>
      </w:pPr>
      <w:r>
        <w:t>Figure 2. Editable outline of the nested participant-wise selection procedure.</w:t>
      </w:r>
    </w:p>
    <w:p>
      <w:pPr>
        <w:pStyle w:val="Heading2"/>
        <w:keepNext/>
        <w:pageBreakBefore w:val="0"/>
        <w:spacing w:before="200" w:after="120"/>
      </w:pPr>
      <w:r>
        <w:rPr>
          <w:rFonts w:ascii="Arial" w:hAnsi="Arial"/>
          <w:b/>
          <w:color w:val="1F3B63"/>
          <w:sz w:val="25"/>
        </w:rPr>
        <w:t>5.3  Class imbalance</w:t>
      </w:r>
    </w:p>
    <w:p>
      <w:pPr>
        <w:pageBreakBefore w:val="0"/>
        <w:widowControl/>
        <w:spacing w:after="40"/>
      </w:pPr>
      <w:r>
        <w:t>Eleven model families were evaluated: tied equal-prior baseline, nearest centroid, K-nearest neighbours, ridge, multinomial logistic regression, shrinkage LDA, linear SVM, random forest, shallow gradient-boosted stumps, logistic RMS+MDF and LDA RMS+MDF. No neural network was trained. Models received window-level features rather than raw waveform end-to-end input. Logistic regression produces nominal class probabilities, but calibration was not assessed; LDA, SVM and other models produce model-specific scores that are not comparable as probabilities.</w:t>
      </w:r>
    </w:p>
    <w:p>
      <w:pPr>
        <w:pageBreakBefore w:val="0"/>
        <w:spacing w:after="40"/>
      </w:pPr>
    </w:p>
    <w:p>
      <w:pPr>
        <w:pageBreakBefore w:val="0"/>
        <w:spacing w:after="120" w:before="0"/>
        <w:jc w:val="both"/>
      </w:pPr>
    </w:p>
    <w:p>
      <w:pPr>
        <w:pStyle w:val="Heading2"/>
        <w:keepNext/>
        <w:pageBreakBefore w:val="0"/>
        <w:spacing w:before="200" w:after="120"/>
      </w:pPr>
      <w:r>
        <w:rPr>
          <w:rFonts w:ascii="Arial" w:hAnsi="Arial"/>
          <w:b/>
          <w:color w:val="1F3B63"/>
          <w:sz w:val="25"/>
        </w:rPr>
        <w:t>5.4  Reproducibility settings</w:t>
      </w:r>
    </w:p>
    <w:p>
      <w:pPr>
        <w:spacing w:before="140" w:after="60"/>
      </w:pPr>
      <w:r>
        <w:rPr>
          <w:rFonts w:ascii="Arial" w:hAnsi="Arial"/>
          <w:b/>
          <w:color w:val="1F3B63"/>
          <w:sz w:val="18"/>
        </w:rPr>
        <w:t>TABLE VII. REPRODUCIBILITY SETTINGS AND VERIFIED SCOPE</w:t>
      </w:r>
    </w:p>
    <w:tbl>
      <w:tblPr>
        <w:tblStyle w:val="TableGrid"/>
        <w:tblW w:type="auto" w:w="0"/>
        <w:tblLook w:firstColumn="1" w:firstRow="1" w:lastColumn="0" w:lastRow="0" w:noHBand="0" w:noVBand="1" w:val="04A0"/>
        <w:jc w:val="center"/>
        <w:tblBorders>
          <w:top w:val="single" w:sz="4" w:space="0" w:color="9AA7B5"/>
          <w:left w:val="single" w:sz="4" w:space="0" w:color="9AA7B5"/>
          <w:bottom w:val="single" w:sz="4" w:space="0" w:color="9AA7B5"/>
          <w:right w:val="single" w:sz="4" w:space="0" w:color="9AA7B5"/>
          <w:insideH w:val="single" w:sz="4" w:space="0" w:color="9AA7B5"/>
          <w:insideV w:val="single" w:sz="4" w:space="0" w:color="9AA7B5"/>
        </w:tblBorders>
        <w:tblLayout w:type="autofit"/>
      </w:tblPr>
      <w:tblGrid>
        <w:gridCol w:w="3672"/>
        <w:gridCol w:w="5501"/>
      </w:tblGrid>
      <w:tr>
        <w:trPr>
          <w:tblHeader w:val="true"/>
          <w:cantSplit/>
          <w:tblHeader/>
        </w:trPr>
        <w:tc>
          <w:tcPr>
            <w:tcW w:type="dxa" w:w="3672"/>
            <w:shd w:val="clear" w:color="auto" w:fill="1F3B63"/>
            <w:tcMar>
              <w:top w:w="90" w:type="dxa"/>
              <w:start w:w="95" w:type="dxa"/>
              <w:bottom w:w="90" w:type="dxa"/>
              <w:end w:w="95" w:type="dxa"/>
            </w:tcMar>
            <w:vAlign w:val="center"/>
          </w:tcPr>
          <w:p>
            <w:pPr>
              <w:spacing w:after="20" w:before="20" w:line="240" w:lineRule="auto"/>
              <w:jc w:val="center"/>
            </w:pPr>
            <w:r>
              <w:rPr>
                <w:rFonts w:ascii="Arial" w:hAnsi="Arial"/>
                <w:b/>
                <w:color w:val="FFFFFF"/>
                <w:sz w:val="16"/>
              </w:rPr>
              <w:t>Item</w:t>
            </w:r>
          </w:p>
        </w:tc>
        <w:tc>
          <w:tcPr>
            <w:tcW w:type="dxa" w:w="5501"/>
            <w:shd w:val="clear" w:color="auto" w:fill="1F3B63"/>
            <w:tcMar>
              <w:top w:w="90" w:type="dxa"/>
              <w:start w:w="95" w:type="dxa"/>
              <w:bottom w:w="90" w:type="dxa"/>
              <w:end w:w="95" w:type="dxa"/>
            </w:tcMar>
            <w:vAlign w:val="center"/>
          </w:tcPr>
          <w:p>
            <w:pPr>
              <w:spacing w:after="20" w:before="20" w:line="240" w:lineRule="auto"/>
              <w:jc w:val="center"/>
            </w:pPr>
            <w:r>
              <w:rPr>
                <w:rFonts w:ascii="Arial" w:hAnsi="Arial"/>
                <w:b/>
                <w:color w:val="FFFFFF"/>
                <w:sz w:val="16"/>
              </w:rPr>
              <w:t>Value</w:t>
            </w:r>
          </w:p>
        </w:tc>
      </w:tr>
      <w:tr>
        <w:trPr>
          <w:cantSplit/>
          <w:cantSplit/>
        </w:trPr>
        <w:tc>
          <w:tcPr>
            <w:tcW w:type="dxa" w:w="3672"/>
            <w:tcMar>
              <w:top w:w="90" w:type="dxa"/>
              <w:start w:w="95" w:type="dxa"/>
              <w:bottom w:w="90" w:type="dxa"/>
              <w:end w:w="95" w:type="dxa"/>
            </w:tcMar>
            <w:vAlign w:val="center"/>
            <w:shd w:fill="FFFFFF"/>
          </w:tcPr>
          <w:p>
            <w:pPr>
              <w:spacing w:after="20" w:before="20" w:line="240" w:lineRule="auto"/>
            </w:pPr>
            <w:r>
              <w:rPr>
                <w:rFonts w:ascii="Arial" w:hAnsi="Arial"/>
                <w:b w:val="0"/>
                <w:color w:val="222222"/>
                <w:sz w:val="16"/>
              </w:rPr>
              <w:t>Outer / inner validation</w:t>
            </w:r>
          </w:p>
        </w:tc>
        <w:tc>
          <w:tcPr>
            <w:tcW w:type="dxa" w:w="5501"/>
            <w:tcMar>
              <w:top w:w="90" w:type="dxa"/>
              <w:start w:w="95" w:type="dxa"/>
              <w:bottom w:w="90" w:type="dxa"/>
              <w:end w:w="95" w:type="dxa"/>
            </w:tcMar>
            <w:vAlign w:val="center"/>
            <w:shd w:fill="FFFFFF"/>
          </w:tcPr>
          <w:p>
            <w:pPr>
              <w:spacing w:after="20" w:before="20" w:line="240" w:lineRule="auto"/>
            </w:pPr>
            <w:r>
              <w:rPr>
                <w:rFonts w:ascii="Arial" w:hAnsi="Arial"/>
                <w:b w:val="0"/>
                <w:color w:val="222222"/>
                <w:sz w:val="16"/>
              </w:rPr>
              <w:t>15 outer LOSO groups; 4 grouped inner folds per outer training set</w:t>
            </w:r>
          </w:p>
        </w:tc>
      </w:tr>
      <w:tr>
        <w:trPr>
          <w:cantSplit/>
          <w:cantSplit/>
        </w:trPr>
        <w:tc>
          <w:tcPr>
            <w:tcW w:type="dxa" w:w="3672"/>
            <w:tcMar>
              <w:top w:w="90" w:type="dxa"/>
              <w:start w:w="95" w:type="dxa"/>
              <w:bottom w:w="90" w:type="dxa"/>
              <w:end w:w="95" w:type="dxa"/>
            </w:tcMar>
            <w:vAlign w:val="center"/>
            <w:shd w:fill="EAF0F6"/>
          </w:tcPr>
          <w:p>
            <w:pPr>
              <w:spacing w:after="20" w:before="20" w:line="240" w:lineRule="auto"/>
            </w:pPr>
            <w:r>
              <w:rPr>
                <w:rFonts w:ascii="Arial" w:hAnsi="Arial"/>
                <w:b w:val="0"/>
                <w:color w:val="222222"/>
                <w:sz w:val="16"/>
              </w:rPr>
              <w:t>Random seeds</w:t>
            </w:r>
          </w:p>
        </w:tc>
        <w:tc>
          <w:tcPr>
            <w:tcW w:type="dxa" w:w="5501"/>
            <w:tcMar>
              <w:top w:w="90" w:type="dxa"/>
              <w:start w:w="95" w:type="dxa"/>
              <w:bottom w:w="90" w:type="dxa"/>
              <w:end w:w="95" w:type="dxa"/>
            </w:tcMar>
            <w:vAlign w:val="center"/>
            <w:shd w:fill="EAF0F6"/>
          </w:tcPr>
          <w:p>
            <w:pPr>
              <w:spacing w:after="20" w:before="20" w:line="240" w:lineRule="auto"/>
            </w:pPr>
            <w:r>
              <w:rPr>
                <w:rFonts w:ascii="Arial" w:hAnsi="Arial"/>
                <w:b w:val="0"/>
                <w:color w:val="222222"/>
                <w:sz w:val="16"/>
              </w:rPr>
              <w:t>20261018 nested benchmark; 20261019 lateral summary; see trend receipt for trajectory seed</w:t>
            </w:r>
          </w:p>
        </w:tc>
      </w:tr>
      <w:tr>
        <w:trPr>
          <w:cantSplit/>
          <w:cantSplit/>
        </w:trPr>
        <w:tc>
          <w:tcPr>
            <w:tcW w:type="dxa" w:w="3672"/>
            <w:tcMar>
              <w:top w:w="90" w:type="dxa"/>
              <w:start w:w="95" w:type="dxa"/>
              <w:bottom w:w="90" w:type="dxa"/>
              <w:end w:w="95" w:type="dxa"/>
            </w:tcMar>
            <w:vAlign w:val="center"/>
            <w:shd w:fill="FFFFFF"/>
          </w:tcPr>
          <w:p>
            <w:pPr>
              <w:spacing w:after="20" w:before="20" w:line="240" w:lineRule="auto"/>
            </w:pPr>
            <w:r>
              <w:rPr>
                <w:rFonts w:ascii="Arial" w:hAnsi="Arial"/>
                <w:b w:val="0"/>
                <w:color w:val="222222"/>
                <w:sz w:val="16"/>
              </w:rPr>
              <w:t>Bootstrap</w:t>
            </w:r>
          </w:p>
        </w:tc>
        <w:tc>
          <w:tcPr>
            <w:tcW w:type="dxa" w:w="5501"/>
            <w:tcMar>
              <w:top w:w="90" w:type="dxa"/>
              <w:start w:w="95" w:type="dxa"/>
              <w:bottom w:w="90" w:type="dxa"/>
              <w:end w:w="95" w:type="dxa"/>
            </w:tcMar>
            <w:vAlign w:val="center"/>
            <w:shd w:fill="FFFFFF"/>
          </w:tcPr>
          <w:p>
            <w:pPr>
              <w:spacing w:after="20" w:before="20" w:line="240" w:lineRule="auto"/>
            </w:pPr>
            <w:r>
              <w:rPr>
                <w:rFonts w:ascii="Arial" w:hAnsi="Arial"/>
                <w:b w:val="0"/>
                <w:color w:val="222222"/>
                <w:sz w:val="16"/>
              </w:rPr>
              <w:t>5,000 participant-level resamples for primary nested CIs; 2,000 for lateral comparisons; slope/trend intervals as recorded in trend receipt</w:t>
            </w:r>
          </w:p>
        </w:tc>
      </w:tr>
      <w:tr>
        <w:trPr>
          <w:cantSplit/>
          <w:cantSplit/>
        </w:trPr>
        <w:tc>
          <w:tcPr>
            <w:tcW w:type="dxa" w:w="3672"/>
            <w:tcMar>
              <w:top w:w="90" w:type="dxa"/>
              <w:start w:w="95" w:type="dxa"/>
              <w:bottom w:w="90" w:type="dxa"/>
              <w:end w:w="95" w:type="dxa"/>
            </w:tcMar>
            <w:vAlign w:val="center"/>
            <w:shd w:fill="EAF0F6"/>
          </w:tcPr>
          <w:p>
            <w:pPr>
              <w:spacing w:after="20" w:before="20" w:line="240" w:lineRule="auto"/>
            </w:pPr>
            <w:r>
              <w:rPr>
                <w:rFonts w:ascii="Arial" w:hAnsi="Arial"/>
                <w:b w:val="0"/>
                <w:color w:val="222222"/>
                <w:sz w:val="16"/>
              </w:rPr>
              <w:t>Software</w:t>
            </w:r>
          </w:p>
        </w:tc>
        <w:tc>
          <w:tcPr>
            <w:tcW w:type="dxa" w:w="5501"/>
            <w:tcMar>
              <w:top w:w="90" w:type="dxa"/>
              <w:start w:w="95" w:type="dxa"/>
              <w:bottom w:w="90" w:type="dxa"/>
              <w:end w:w="95" w:type="dxa"/>
            </w:tcMar>
            <w:vAlign w:val="center"/>
            <w:shd w:fill="EAF0F6"/>
          </w:tcPr>
          <w:p>
            <w:pPr>
              <w:spacing w:after="20" w:before="20" w:line="240" w:lineRule="auto"/>
            </w:pPr>
            <w:r>
              <w:rPr>
                <w:rFonts w:ascii="Arial" w:hAnsi="Arial"/>
                <w:b w:val="0"/>
                <w:color w:val="222222"/>
                <w:sz w:val="16"/>
              </w:rPr>
              <w:t>Python 3.12.14; NumPy 2.3.5; full dependency lock not recorded</w:t>
            </w:r>
          </w:p>
        </w:tc>
      </w:tr>
      <w:tr>
        <w:trPr>
          <w:cantSplit/>
          <w:cantSplit/>
        </w:trPr>
        <w:tc>
          <w:tcPr>
            <w:tcW w:type="dxa" w:w="3672"/>
            <w:tcMar>
              <w:top w:w="90" w:type="dxa"/>
              <w:start w:w="95" w:type="dxa"/>
              <w:bottom w:w="90" w:type="dxa"/>
              <w:end w:w="95" w:type="dxa"/>
            </w:tcMar>
            <w:vAlign w:val="center"/>
            <w:shd w:fill="FFFFFF"/>
          </w:tcPr>
          <w:p>
            <w:pPr>
              <w:spacing w:after="20" w:before="20" w:line="240" w:lineRule="auto"/>
            </w:pPr>
            <w:r>
              <w:rPr>
                <w:rFonts w:ascii="Arial" w:hAnsi="Arial"/>
                <w:b w:val="0"/>
                <w:color w:val="222222"/>
                <w:sz w:val="16"/>
              </w:rPr>
              <w:t>Runtime / hardware</w:t>
            </w:r>
          </w:p>
        </w:tc>
        <w:tc>
          <w:tcPr>
            <w:tcW w:type="dxa" w:w="5501"/>
            <w:tcMar>
              <w:top w:w="90" w:type="dxa"/>
              <w:start w:w="95" w:type="dxa"/>
              <w:bottom w:w="90" w:type="dxa"/>
              <w:end w:w="95" w:type="dxa"/>
            </w:tcMar>
            <w:vAlign w:val="center"/>
            <w:shd w:fill="FFFFFF"/>
          </w:tcPr>
          <w:p>
            <w:pPr>
              <w:spacing w:after="20" w:before="20" w:line="240" w:lineRule="auto"/>
            </w:pPr>
            <w:r>
              <w:rPr>
                <w:rFonts w:ascii="Arial" w:hAnsi="Arial"/>
                <w:b w:val="0"/>
                <w:color w:val="222222"/>
                <w:sz w:val="16"/>
              </w:rPr>
              <w:t>31423.1 s recorded; hardware specification not logged</w:t>
            </w:r>
          </w:p>
        </w:tc>
      </w:tr>
      <w:tr>
        <w:trPr>
          <w:cantSplit/>
          <w:cantSplit/>
        </w:trPr>
        <w:tc>
          <w:tcPr>
            <w:tcW w:type="dxa" w:w="3672"/>
            <w:tcMar>
              <w:top w:w="90" w:type="dxa"/>
              <w:start w:w="95" w:type="dxa"/>
              <w:bottom w:w="90" w:type="dxa"/>
              <w:end w:w="95" w:type="dxa"/>
            </w:tcMar>
            <w:vAlign w:val="center"/>
            <w:shd w:fill="EAF0F6"/>
          </w:tcPr>
          <w:p>
            <w:pPr>
              <w:spacing w:after="20" w:before="20" w:line="240" w:lineRule="auto"/>
            </w:pPr>
            <w:r>
              <w:rPr>
                <w:rFonts w:ascii="Arial" w:hAnsi="Arial"/>
                <w:b w:val="0"/>
                <w:color w:val="222222"/>
                <w:sz w:val="16"/>
              </w:rPr>
              <w:t>Scope / data integrity</w:t>
            </w:r>
          </w:p>
        </w:tc>
        <w:tc>
          <w:tcPr>
            <w:tcW w:type="dxa" w:w="5501"/>
            <w:tcMar>
              <w:top w:w="90" w:type="dxa"/>
              <w:start w:w="95" w:type="dxa"/>
              <w:bottom w:w="90" w:type="dxa"/>
              <w:end w:w="95" w:type="dxa"/>
            </w:tcMar>
            <w:vAlign w:val="center"/>
            <w:shd w:fill="EAF0F6"/>
          </w:tcPr>
          <w:p>
            <w:pPr>
              <w:spacing w:after="20" w:before="20" w:line="240" w:lineRule="auto"/>
            </w:pPr>
            <w:r>
              <w:rPr>
                <w:rFonts w:ascii="Arial" w:hAnsi="Arial"/>
                <w:b w:val="0"/>
                <w:color w:val="222222"/>
                <w:sz w:val="16"/>
              </w:rPr>
              <w:t>Local recordings from 15 groups only; participants.csv and external data excluded; originals, labels, partitions and 44 references unchanged</w:t>
            </w:r>
          </w:p>
        </w:tc>
      </w:tr>
      <w:tr>
        <w:trPr>
          <w:cantSplit/>
          <w:cantSplit/>
        </w:trPr>
        <w:tc>
          <w:tcPr>
            <w:tcW w:type="dxa" w:w="3672"/>
            <w:tcMar>
              <w:top w:w="90" w:type="dxa"/>
              <w:start w:w="95" w:type="dxa"/>
              <w:bottom w:w="90" w:type="dxa"/>
              <w:end w:w="95" w:type="dxa"/>
            </w:tcMar>
            <w:vAlign w:val="center"/>
            <w:shd w:fill="FFFFFF"/>
          </w:tcPr>
          <w:p>
            <w:pPr>
              <w:spacing w:after="20" w:before="20" w:line="240" w:lineRule="auto"/>
            </w:pPr>
            <w:r>
              <w:rPr>
                <w:rFonts w:ascii="Arial" w:hAnsi="Arial"/>
                <w:b w:val="0"/>
                <w:color w:val="222222"/>
                <w:sz w:val="16"/>
              </w:rPr>
              <w:t>Configuration / code receipt</w:t>
            </w:r>
          </w:p>
        </w:tc>
        <w:tc>
          <w:tcPr>
            <w:tcW w:type="dxa" w:w="5501"/>
            <w:tcMar>
              <w:top w:w="90" w:type="dxa"/>
              <w:start w:w="95" w:type="dxa"/>
              <w:bottom w:w="90" w:type="dxa"/>
              <w:end w:w="95" w:type="dxa"/>
            </w:tcMar>
            <w:vAlign w:val="center"/>
            <w:shd w:fill="FFFFFF"/>
          </w:tcPr>
          <w:p>
            <w:pPr>
              <w:spacing w:after="20" w:before="20" w:line="240" w:lineRule="auto"/>
            </w:pPr>
            <w:r>
              <w:rPr>
                <w:rFonts w:ascii="Arial" w:hAnsi="Arial"/>
                <w:b w:val="0"/>
                <w:color w:val="222222"/>
                <w:sz w:val="16"/>
              </w:rPr>
              <w:t>325 configurations; receipt completed; run 20261017_224915; participant grouping verified</w:t>
            </w:r>
          </w:p>
        </w:tc>
      </w:tr>
    </w:tbl>
    <w:p>
      <w:pPr>
        <w:widowControl/>
        <w:spacing w:before="60" w:after="100"/>
      </w:pPr>
      <w:r>
        <w:rPr>
          <w:rFonts w:ascii="Arial" w:hAnsi="Arial"/>
          <w:color w:val="222222"/>
          <w:sz w:val="18"/>
        </w:rPr>
        <w:t>Validation used 15 outer leave-one-participant-out folds. Each outer test group contained that participant’s signals, both sides, all R1–R5 series and associated segments. Four group-aware inner folds selected among 325 fixed model × feature-family × filter configurations, then the selected configuration was refit on the other 14 groups and evaluated once on the held-out group. The global nested procedure is a selector that can vary by fold; it is not one frozen deployable model. Side and series were not used to select the model. Participant-level bootstrap intervals used 5,000 resamples for the global nested primary summary and 2,000 for the post hoc lateral comparison.</w:t>
      </w:r>
    </w:p>
    <w:p>
      <w:pPr>
        <w:pageBreakBefore w:val="0"/>
        <w:spacing w:after="160" w:before="0"/>
        <w:jc w:val="both"/>
      </w:pPr>
    </w:p>
    <w:p>
      <w:pPr>
        <w:pStyle w:val="Heading1"/>
        <w:keepNext/>
        <w:pageBreakBefore w:val="0"/>
        <w:spacing w:before="280" w:after="120"/>
      </w:pPr>
      <w:r>
        <w:rPr>
          <w:rFonts w:ascii="Arial" w:hAnsi="Arial"/>
          <w:b/>
          <w:color w:val="1F3B63"/>
          <w:sz w:val="30"/>
        </w:rPr>
        <w:t>6.  Results</w:t>
      </w:r>
    </w:p>
    <w:p>
      <w:pPr>
        <w:pStyle w:val="Heading2"/>
        <w:keepNext/>
        <w:pageBreakBefore w:val="0"/>
        <w:spacing w:before="200" w:after="120"/>
      </w:pPr>
      <w:r>
        <w:rPr>
          <w:rFonts w:ascii="Arial" w:hAnsi="Arial"/>
          <w:b/>
          <w:color w:val="1F3B63"/>
          <w:sz w:val="25"/>
        </w:rPr>
        <w:t>6.1  Main comparison table</w:t>
      </w:r>
    </w:p>
    <w:p>
      <w:pPr>
        <w:spacing w:before="140" w:after="60"/>
      </w:pPr>
      <w:r>
        <w:rPr>
          <w:rFonts w:ascii="Arial" w:hAnsi="Arial"/>
          <w:b/>
          <w:color w:val="1F3B63"/>
          <w:sz w:val="18"/>
        </w:rPr>
        <w:t>TABLE VIII. PARTICIPANT-LEVEL PERFORMANCE OF EACH NESTED SELECTOR</w:t>
      </w:r>
    </w:p>
    <w:tbl>
      <w:tblPr>
        <w:tblStyle w:val="TableGrid"/>
        <w:tblW w:type="auto" w:w="0"/>
        <w:tblLook w:firstColumn="1" w:firstRow="1" w:lastColumn="0" w:lastRow="0" w:noHBand="0" w:noVBand="1" w:val="04A0"/>
        <w:jc w:val="center"/>
        <w:tblBorders>
          <w:top w:val="single" w:sz="4" w:space="0" w:color="9AA7B5"/>
          <w:left w:val="single" w:sz="4" w:space="0" w:color="9AA7B5"/>
          <w:bottom w:val="single" w:sz="4" w:space="0" w:color="9AA7B5"/>
          <w:right w:val="single" w:sz="4" w:space="0" w:color="9AA7B5"/>
          <w:insideH w:val="single" w:sz="4" w:space="0" w:color="9AA7B5"/>
          <w:insideV w:val="single" w:sz="4" w:space="0" w:color="9AA7B5"/>
        </w:tblBorders>
        <w:tblLayout w:type="autofit"/>
      </w:tblPr>
      <w:tblGrid>
        <w:gridCol w:w="2045"/>
        <w:gridCol w:w="1368"/>
        <w:gridCol w:w="1512"/>
        <w:gridCol w:w="1440"/>
        <w:gridCol w:w="1368"/>
        <w:gridCol w:w="1440"/>
      </w:tblGrid>
      <w:tr>
        <w:trPr>
          <w:tblHeader w:val="true"/>
          <w:cantSplit/>
          <w:tblHeader/>
        </w:trPr>
        <w:tc>
          <w:tcPr>
            <w:tcW w:type="dxa" w:w="2045"/>
            <w:shd w:val="clear" w:color="auto" w:fill="1F3B63"/>
            <w:tcMar>
              <w:top w:w="90" w:type="dxa"/>
              <w:start w:w="95" w:type="dxa"/>
              <w:bottom w:w="90" w:type="dxa"/>
              <w:end w:w="95" w:type="dxa"/>
            </w:tcMar>
            <w:vAlign w:val="center"/>
          </w:tcPr>
          <w:p>
            <w:pPr>
              <w:spacing w:after="20" w:before="20" w:line="240" w:lineRule="auto"/>
              <w:jc w:val="center"/>
            </w:pPr>
            <w:r>
              <w:rPr>
                <w:rFonts w:ascii="Arial" w:hAnsi="Arial"/>
                <w:b/>
                <w:color w:val="FFFFFF"/>
                <w:sz w:val="14"/>
              </w:rPr>
              <w:t>Selector</w:t>
            </w:r>
          </w:p>
        </w:tc>
        <w:tc>
          <w:tcPr>
            <w:tcW w:type="dxa" w:w="1368"/>
            <w:shd w:val="clear" w:color="auto" w:fill="1F3B63"/>
            <w:tcMar>
              <w:top w:w="90" w:type="dxa"/>
              <w:start w:w="95" w:type="dxa"/>
              <w:bottom w:w="90" w:type="dxa"/>
              <w:end w:w="95" w:type="dxa"/>
            </w:tcMar>
            <w:vAlign w:val="center"/>
          </w:tcPr>
          <w:p>
            <w:pPr>
              <w:spacing w:after="20" w:before="20" w:line="240" w:lineRule="auto"/>
              <w:jc w:val="center"/>
            </w:pPr>
            <w:r>
              <w:rPr>
                <w:rFonts w:ascii="Arial" w:hAnsi="Arial"/>
                <w:b/>
                <w:color w:val="FFFFFF"/>
                <w:sz w:val="14"/>
              </w:rPr>
              <w:t>Accuracy mean±SD</w:t>
            </w:r>
          </w:p>
        </w:tc>
        <w:tc>
          <w:tcPr>
            <w:tcW w:type="dxa" w:w="1512"/>
            <w:shd w:val="clear" w:color="auto" w:fill="1F3B63"/>
            <w:tcMar>
              <w:top w:w="90" w:type="dxa"/>
              <w:start w:w="95" w:type="dxa"/>
              <w:bottom w:w="90" w:type="dxa"/>
              <w:end w:w="95" w:type="dxa"/>
            </w:tcMar>
            <w:vAlign w:val="center"/>
          </w:tcPr>
          <w:p>
            <w:pPr>
              <w:spacing w:after="20" w:before="20" w:line="240" w:lineRule="auto"/>
              <w:jc w:val="center"/>
            </w:pPr>
            <w:r>
              <w:rPr>
                <w:rFonts w:ascii="Arial" w:hAnsi="Arial"/>
                <w:b/>
                <w:color w:val="FFFFFF"/>
                <w:sz w:val="14"/>
              </w:rPr>
              <w:t>Precision macro</w:t>
            </w:r>
          </w:p>
        </w:tc>
        <w:tc>
          <w:tcPr>
            <w:tcW w:type="dxa" w:w="1440"/>
            <w:shd w:val="clear" w:color="auto" w:fill="1F3B63"/>
            <w:tcMar>
              <w:top w:w="90" w:type="dxa"/>
              <w:start w:w="95" w:type="dxa"/>
              <w:bottom w:w="90" w:type="dxa"/>
              <w:end w:w="95" w:type="dxa"/>
            </w:tcMar>
            <w:vAlign w:val="center"/>
          </w:tcPr>
          <w:p>
            <w:pPr>
              <w:spacing w:after="20" w:before="20" w:line="240" w:lineRule="auto"/>
              <w:jc w:val="center"/>
            </w:pPr>
            <w:r>
              <w:rPr>
                <w:rFonts w:ascii="Arial" w:hAnsi="Arial"/>
                <w:b/>
                <w:color w:val="FFFFFF"/>
                <w:sz w:val="14"/>
              </w:rPr>
              <w:t>Recall macro</w:t>
            </w:r>
          </w:p>
        </w:tc>
        <w:tc>
          <w:tcPr>
            <w:tcW w:type="dxa" w:w="1368"/>
            <w:shd w:val="clear" w:color="auto" w:fill="1F3B63"/>
            <w:tcMar>
              <w:top w:w="90" w:type="dxa"/>
              <w:start w:w="95" w:type="dxa"/>
              <w:bottom w:w="90" w:type="dxa"/>
              <w:end w:w="95" w:type="dxa"/>
            </w:tcMar>
            <w:vAlign w:val="center"/>
          </w:tcPr>
          <w:p>
            <w:pPr>
              <w:spacing w:after="20" w:before="20" w:line="240" w:lineRule="auto"/>
              <w:jc w:val="center"/>
            </w:pPr>
            <w:r>
              <w:rPr>
                <w:rFonts w:ascii="Arial" w:hAnsi="Arial"/>
                <w:b/>
                <w:color w:val="FFFFFF"/>
                <w:sz w:val="14"/>
              </w:rPr>
              <w:t>Macro-F1</w:t>
            </w:r>
          </w:p>
        </w:tc>
        <w:tc>
          <w:tcPr>
            <w:tcW w:type="dxa" w:w="1440"/>
            <w:shd w:val="clear" w:color="auto" w:fill="1F3B63"/>
            <w:tcMar>
              <w:top w:w="90" w:type="dxa"/>
              <w:start w:w="95" w:type="dxa"/>
              <w:bottom w:w="90" w:type="dxa"/>
              <w:end w:w="95" w:type="dxa"/>
            </w:tcMar>
            <w:vAlign w:val="center"/>
          </w:tcPr>
          <w:p>
            <w:pPr>
              <w:spacing w:after="20" w:before="20" w:line="240" w:lineRule="auto"/>
              <w:jc w:val="center"/>
            </w:pPr>
            <w:r>
              <w:rPr>
                <w:rFonts w:ascii="Arial" w:hAnsi="Arial"/>
                <w:b/>
                <w:color w:val="FFFFFF"/>
                <w:sz w:val="14"/>
              </w:rPr>
              <w:t>ROC-AUC OvR / AP OvR</w:t>
            </w:r>
          </w:p>
        </w:tc>
      </w:tr>
      <w:tr>
        <w:trPr>
          <w:cantSplit/>
          <w:cantSplit/>
        </w:trPr>
        <w:tc>
          <w:tcPr>
            <w:tcW w:type="dxa" w:w="2045"/>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Tied-prior baseline</w:t>
            </w:r>
          </w:p>
        </w:tc>
        <w:tc>
          <w:tcPr>
            <w:tcW w:type="dxa" w:w="1368"/>
            <w:tcMar>
              <w:top w:w="90" w:type="dxa"/>
              <w:start w:w="95" w:type="dxa"/>
              <w:bottom w:w="90" w:type="dxa"/>
              <w:end w:w="95" w:type="dxa"/>
            </w:tcMar>
            <w:vAlign w:val="center"/>
            <w:shd w:fill="FFFFFF"/>
          </w:tcPr>
          <w:p>
            <w:pPr>
              <w:spacing w:after="20" w:before="20" w:line="240" w:lineRule="auto"/>
              <w:jc w:val="center"/>
            </w:pPr>
            <w:r>
              <w:rPr>
                <w:rFonts w:ascii="Arial" w:hAnsi="Arial"/>
                <w:b w:val="0"/>
                <w:color w:val="222222"/>
                <w:sz w:val="14"/>
              </w:rPr>
              <w:t>0.333±0.000</w:t>
            </w:r>
          </w:p>
        </w:tc>
        <w:tc>
          <w:tcPr>
            <w:tcW w:type="dxa" w:w="1512"/>
            <w:tcMar>
              <w:top w:w="90" w:type="dxa"/>
              <w:start w:w="95" w:type="dxa"/>
              <w:bottom w:w="90" w:type="dxa"/>
              <w:end w:w="95" w:type="dxa"/>
            </w:tcMar>
            <w:vAlign w:val="center"/>
            <w:shd w:fill="FFFFFF"/>
          </w:tcPr>
          <w:p>
            <w:pPr>
              <w:spacing w:after="20" w:before="20" w:line="240" w:lineRule="auto"/>
              <w:jc w:val="center"/>
            </w:pPr>
            <w:r>
              <w:rPr>
                <w:rFonts w:ascii="Arial" w:hAnsi="Arial"/>
                <w:b w:val="0"/>
                <w:color w:val="222222"/>
                <w:sz w:val="14"/>
              </w:rPr>
              <w:t>0.111±0.000</w:t>
            </w:r>
          </w:p>
        </w:tc>
        <w:tc>
          <w:tcPr>
            <w:tcW w:type="dxa" w:w="1440"/>
            <w:tcMar>
              <w:top w:w="90" w:type="dxa"/>
              <w:start w:w="95" w:type="dxa"/>
              <w:bottom w:w="90" w:type="dxa"/>
              <w:end w:w="95" w:type="dxa"/>
            </w:tcMar>
            <w:vAlign w:val="center"/>
            <w:shd w:fill="FFFFFF"/>
          </w:tcPr>
          <w:p>
            <w:pPr>
              <w:spacing w:after="20" w:before="20" w:line="240" w:lineRule="auto"/>
              <w:jc w:val="center"/>
            </w:pPr>
            <w:r>
              <w:rPr>
                <w:rFonts w:ascii="Arial" w:hAnsi="Arial"/>
                <w:b w:val="0"/>
                <w:color w:val="222222"/>
                <w:sz w:val="14"/>
              </w:rPr>
              <w:t>0.333±0.000</w:t>
            </w:r>
          </w:p>
        </w:tc>
        <w:tc>
          <w:tcPr>
            <w:tcW w:type="dxa" w:w="1368"/>
            <w:tcMar>
              <w:top w:w="90" w:type="dxa"/>
              <w:start w:w="95" w:type="dxa"/>
              <w:bottom w:w="90" w:type="dxa"/>
              <w:end w:w="95" w:type="dxa"/>
            </w:tcMar>
            <w:vAlign w:val="center"/>
            <w:shd w:fill="FFFFFF"/>
          </w:tcPr>
          <w:p>
            <w:pPr>
              <w:spacing w:after="20" w:before="20" w:line="240" w:lineRule="auto"/>
              <w:jc w:val="center"/>
            </w:pPr>
            <w:r>
              <w:rPr>
                <w:rFonts w:ascii="Arial" w:hAnsi="Arial"/>
                <w:b w:val="0"/>
                <w:color w:val="222222"/>
                <w:sz w:val="14"/>
              </w:rPr>
              <w:t>0.167±0.000</w:t>
            </w:r>
          </w:p>
        </w:tc>
        <w:tc>
          <w:tcPr>
            <w:tcW w:type="dxa" w:w="1440"/>
            <w:tcMar>
              <w:top w:w="90" w:type="dxa"/>
              <w:start w:w="95" w:type="dxa"/>
              <w:bottom w:w="90" w:type="dxa"/>
              <w:end w:w="95" w:type="dxa"/>
            </w:tcMar>
            <w:vAlign w:val="center"/>
            <w:shd w:fill="FFFFFF"/>
          </w:tcPr>
          <w:p>
            <w:pPr>
              <w:spacing w:after="20" w:before="20" w:line="240" w:lineRule="auto"/>
              <w:jc w:val="center"/>
            </w:pPr>
            <w:r>
              <w:rPr>
                <w:rFonts w:ascii="Arial" w:hAnsi="Arial"/>
                <w:b w:val="0"/>
                <w:color w:val="222222"/>
                <w:sz w:val="14"/>
              </w:rPr>
              <w:t>0.500±0.000 / 0.333±0.000</w:t>
            </w:r>
          </w:p>
        </w:tc>
      </w:tr>
      <w:tr>
        <w:trPr>
          <w:cantSplit/>
          <w:cantSplit/>
        </w:trPr>
        <w:tc>
          <w:tcPr>
            <w:tcW w:type="dxa" w:w="2045"/>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Nearest centroid</w:t>
            </w:r>
          </w:p>
        </w:tc>
        <w:tc>
          <w:tcPr>
            <w:tcW w:type="dxa" w:w="1368"/>
            <w:tcMar>
              <w:top w:w="90" w:type="dxa"/>
              <w:start w:w="95" w:type="dxa"/>
              <w:bottom w:w="90" w:type="dxa"/>
              <w:end w:w="95" w:type="dxa"/>
            </w:tcMar>
            <w:vAlign w:val="center"/>
            <w:shd w:fill="EAF0F6"/>
          </w:tcPr>
          <w:p>
            <w:pPr>
              <w:spacing w:after="20" w:before="20" w:line="240" w:lineRule="auto"/>
              <w:jc w:val="center"/>
            </w:pPr>
            <w:r>
              <w:rPr>
                <w:rFonts w:ascii="Arial" w:hAnsi="Arial"/>
                <w:b w:val="0"/>
                <w:color w:val="222222"/>
                <w:sz w:val="14"/>
              </w:rPr>
              <w:t>0.555±0.121</w:t>
            </w:r>
          </w:p>
        </w:tc>
        <w:tc>
          <w:tcPr>
            <w:tcW w:type="dxa" w:w="1512"/>
            <w:tcMar>
              <w:top w:w="90" w:type="dxa"/>
              <w:start w:w="95" w:type="dxa"/>
              <w:bottom w:w="90" w:type="dxa"/>
              <w:end w:w="95" w:type="dxa"/>
            </w:tcMar>
            <w:vAlign w:val="center"/>
            <w:shd w:fill="EAF0F6"/>
          </w:tcPr>
          <w:p>
            <w:pPr>
              <w:spacing w:after="20" w:before="20" w:line="240" w:lineRule="auto"/>
              <w:jc w:val="center"/>
            </w:pPr>
            <w:r>
              <w:rPr>
                <w:rFonts w:ascii="Arial" w:hAnsi="Arial"/>
                <w:b w:val="0"/>
                <w:color w:val="222222"/>
                <w:sz w:val="14"/>
              </w:rPr>
              <w:t>0.540±0.182</w:t>
            </w:r>
          </w:p>
        </w:tc>
        <w:tc>
          <w:tcPr>
            <w:tcW w:type="dxa" w:w="1440"/>
            <w:tcMar>
              <w:top w:w="90" w:type="dxa"/>
              <w:start w:w="95" w:type="dxa"/>
              <w:bottom w:w="90" w:type="dxa"/>
              <w:end w:w="95" w:type="dxa"/>
            </w:tcMar>
            <w:vAlign w:val="center"/>
            <w:shd w:fill="EAF0F6"/>
          </w:tcPr>
          <w:p>
            <w:pPr>
              <w:spacing w:after="20" w:before="20" w:line="240" w:lineRule="auto"/>
              <w:jc w:val="center"/>
            </w:pPr>
            <w:r>
              <w:rPr>
                <w:rFonts w:ascii="Arial" w:hAnsi="Arial"/>
                <w:b w:val="0"/>
                <w:color w:val="222222"/>
                <w:sz w:val="14"/>
              </w:rPr>
              <w:t>0.555±0.121</w:t>
            </w:r>
          </w:p>
        </w:tc>
        <w:tc>
          <w:tcPr>
            <w:tcW w:type="dxa" w:w="1368"/>
            <w:tcMar>
              <w:top w:w="90" w:type="dxa"/>
              <w:start w:w="95" w:type="dxa"/>
              <w:bottom w:w="90" w:type="dxa"/>
              <w:end w:w="95" w:type="dxa"/>
            </w:tcMar>
            <w:vAlign w:val="center"/>
            <w:shd w:fill="EAF0F6"/>
          </w:tcPr>
          <w:p>
            <w:pPr>
              <w:spacing w:after="20" w:before="20" w:line="240" w:lineRule="auto"/>
              <w:jc w:val="center"/>
            </w:pPr>
            <w:r>
              <w:rPr>
                <w:rFonts w:ascii="Arial" w:hAnsi="Arial"/>
                <w:b w:val="0"/>
                <w:color w:val="222222"/>
                <w:sz w:val="14"/>
              </w:rPr>
              <w:t>0.482±0.152</w:t>
            </w:r>
          </w:p>
        </w:tc>
        <w:tc>
          <w:tcPr>
            <w:tcW w:type="dxa" w:w="1440"/>
            <w:tcMar>
              <w:top w:w="90" w:type="dxa"/>
              <w:start w:w="95" w:type="dxa"/>
              <w:bottom w:w="90" w:type="dxa"/>
              <w:end w:w="95" w:type="dxa"/>
            </w:tcMar>
            <w:vAlign w:val="center"/>
            <w:shd w:fill="EAF0F6"/>
          </w:tcPr>
          <w:p>
            <w:pPr>
              <w:spacing w:after="20" w:before="20" w:line="240" w:lineRule="auto"/>
              <w:jc w:val="center"/>
            </w:pPr>
            <w:r>
              <w:rPr>
                <w:rFonts w:ascii="Arial" w:hAnsi="Arial"/>
                <w:b w:val="0"/>
                <w:color w:val="222222"/>
                <w:sz w:val="14"/>
              </w:rPr>
              <w:t>0.643±0.069 / 0.568±0.061</w:t>
            </w:r>
          </w:p>
        </w:tc>
      </w:tr>
      <w:tr>
        <w:trPr>
          <w:cantSplit/>
          <w:cantSplit/>
        </w:trPr>
        <w:tc>
          <w:tcPr>
            <w:tcW w:type="dxa" w:w="2045"/>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KNN</w:t>
            </w:r>
          </w:p>
        </w:tc>
        <w:tc>
          <w:tcPr>
            <w:tcW w:type="dxa" w:w="1368"/>
            <w:tcMar>
              <w:top w:w="90" w:type="dxa"/>
              <w:start w:w="95" w:type="dxa"/>
              <w:bottom w:w="90" w:type="dxa"/>
              <w:end w:w="95" w:type="dxa"/>
            </w:tcMar>
            <w:vAlign w:val="center"/>
            <w:shd w:fill="FFFFFF"/>
          </w:tcPr>
          <w:p>
            <w:pPr>
              <w:spacing w:after="20" w:before="20" w:line="240" w:lineRule="auto"/>
              <w:jc w:val="center"/>
            </w:pPr>
            <w:r>
              <w:rPr>
                <w:rFonts w:ascii="Arial" w:hAnsi="Arial"/>
                <w:b w:val="0"/>
                <w:color w:val="222222"/>
                <w:sz w:val="14"/>
              </w:rPr>
              <w:t>0.566±0.115</w:t>
            </w:r>
          </w:p>
        </w:tc>
        <w:tc>
          <w:tcPr>
            <w:tcW w:type="dxa" w:w="1512"/>
            <w:tcMar>
              <w:top w:w="90" w:type="dxa"/>
              <w:start w:w="95" w:type="dxa"/>
              <w:bottom w:w="90" w:type="dxa"/>
              <w:end w:w="95" w:type="dxa"/>
            </w:tcMar>
            <w:vAlign w:val="center"/>
            <w:shd w:fill="FFFFFF"/>
          </w:tcPr>
          <w:p>
            <w:pPr>
              <w:spacing w:after="20" w:before="20" w:line="240" w:lineRule="auto"/>
              <w:jc w:val="center"/>
            </w:pPr>
            <w:r>
              <w:rPr>
                <w:rFonts w:ascii="Arial" w:hAnsi="Arial"/>
                <w:b w:val="0"/>
                <w:color w:val="222222"/>
                <w:sz w:val="14"/>
              </w:rPr>
              <w:t>0.633±0.141</w:t>
            </w:r>
          </w:p>
        </w:tc>
        <w:tc>
          <w:tcPr>
            <w:tcW w:type="dxa" w:w="1440"/>
            <w:tcMar>
              <w:top w:w="90" w:type="dxa"/>
              <w:start w:w="95" w:type="dxa"/>
              <w:bottom w:w="90" w:type="dxa"/>
              <w:end w:w="95" w:type="dxa"/>
            </w:tcMar>
            <w:vAlign w:val="center"/>
            <w:shd w:fill="FFFFFF"/>
          </w:tcPr>
          <w:p>
            <w:pPr>
              <w:spacing w:after="20" w:before="20" w:line="240" w:lineRule="auto"/>
              <w:jc w:val="center"/>
            </w:pPr>
            <w:r>
              <w:rPr>
                <w:rFonts w:ascii="Arial" w:hAnsi="Arial"/>
                <w:b w:val="0"/>
                <w:color w:val="222222"/>
                <w:sz w:val="14"/>
              </w:rPr>
              <w:t>0.566±0.115</w:t>
            </w:r>
          </w:p>
        </w:tc>
        <w:tc>
          <w:tcPr>
            <w:tcW w:type="dxa" w:w="1368"/>
            <w:tcMar>
              <w:top w:w="90" w:type="dxa"/>
              <w:start w:w="95" w:type="dxa"/>
              <w:bottom w:w="90" w:type="dxa"/>
              <w:end w:w="95" w:type="dxa"/>
            </w:tcMar>
            <w:vAlign w:val="center"/>
            <w:shd w:fill="FFFFFF"/>
          </w:tcPr>
          <w:p>
            <w:pPr>
              <w:spacing w:after="20" w:before="20" w:line="240" w:lineRule="auto"/>
              <w:jc w:val="center"/>
            </w:pPr>
            <w:r>
              <w:rPr>
                <w:rFonts w:ascii="Arial" w:hAnsi="Arial"/>
                <w:b w:val="0"/>
                <w:color w:val="222222"/>
                <w:sz w:val="14"/>
              </w:rPr>
              <w:t>0.551±0.116</w:t>
            </w:r>
          </w:p>
        </w:tc>
        <w:tc>
          <w:tcPr>
            <w:tcW w:type="dxa" w:w="1440"/>
            <w:tcMar>
              <w:top w:w="90" w:type="dxa"/>
              <w:start w:w="95" w:type="dxa"/>
              <w:bottom w:w="90" w:type="dxa"/>
              <w:end w:w="95" w:type="dxa"/>
            </w:tcMar>
            <w:vAlign w:val="center"/>
            <w:shd w:fill="FFFFFF"/>
          </w:tcPr>
          <w:p>
            <w:pPr>
              <w:spacing w:after="20" w:before="20" w:line="240" w:lineRule="auto"/>
              <w:jc w:val="center"/>
            </w:pPr>
            <w:r>
              <w:rPr>
                <w:rFonts w:ascii="Arial" w:hAnsi="Arial"/>
                <w:b w:val="0"/>
                <w:color w:val="222222"/>
                <w:sz w:val="14"/>
              </w:rPr>
              <w:t>0.782±0.094 / 0.654±0.119</w:t>
            </w:r>
          </w:p>
        </w:tc>
      </w:tr>
      <w:tr>
        <w:trPr>
          <w:cantSplit/>
          <w:cantSplit/>
        </w:trPr>
        <w:tc>
          <w:tcPr>
            <w:tcW w:type="dxa" w:w="2045"/>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Ridge classifier</w:t>
            </w:r>
          </w:p>
        </w:tc>
        <w:tc>
          <w:tcPr>
            <w:tcW w:type="dxa" w:w="1368"/>
            <w:tcMar>
              <w:top w:w="90" w:type="dxa"/>
              <w:start w:w="95" w:type="dxa"/>
              <w:bottom w:w="90" w:type="dxa"/>
              <w:end w:w="95" w:type="dxa"/>
            </w:tcMar>
            <w:vAlign w:val="center"/>
            <w:shd w:fill="EAF0F6"/>
          </w:tcPr>
          <w:p>
            <w:pPr>
              <w:spacing w:after="20" w:before="20" w:line="240" w:lineRule="auto"/>
              <w:jc w:val="center"/>
            </w:pPr>
            <w:r>
              <w:rPr>
                <w:rFonts w:ascii="Arial" w:hAnsi="Arial"/>
                <w:b w:val="0"/>
                <w:color w:val="222222"/>
                <w:sz w:val="14"/>
              </w:rPr>
              <w:t>0.734±0.105</w:t>
            </w:r>
          </w:p>
        </w:tc>
        <w:tc>
          <w:tcPr>
            <w:tcW w:type="dxa" w:w="1512"/>
            <w:tcMar>
              <w:top w:w="90" w:type="dxa"/>
              <w:start w:w="95" w:type="dxa"/>
              <w:bottom w:w="90" w:type="dxa"/>
              <w:end w:w="95" w:type="dxa"/>
            </w:tcMar>
            <w:vAlign w:val="center"/>
            <w:shd w:fill="EAF0F6"/>
          </w:tcPr>
          <w:p>
            <w:pPr>
              <w:spacing w:after="20" w:before="20" w:line="240" w:lineRule="auto"/>
              <w:jc w:val="center"/>
            </w:pPr>
            <w:r>
              <w:rPr>
                <w:rFonts w:ascii="Arial" w:hAnsi="Arial"/>
                <w:b w:val="0"/>
                <w:color w:val="222222"/>
                <w:sz w:val="14"/>
              </w:rPr>
              <w:t>0.794±0.090</w:t>
            </w:r>
          </w:p>
        </w:tc>
        <w:tc>
          <w:tcPr>
            <w:tcW w:type="dxa" w:w="1440"/>
            <w:tcMar>
              <w:top w:w="90" w:type="dxa"/>
              <w:start w:w="95" w:type="dxa"/>
              <w:bottom w:w="90" w:type="dxa"/>
              <w:end w:w="95" w:type="dxa"/>
            </w:tcMar>
            <w:vAlign w:val="center"/>
            <w:shd w:fill="EAF0F6"/>
          </w:tcPr>
          <w:p>
            <w:pPr>
              <w:spacing w:after="20" w:before="20" w:line="240" w:lineRule="auto"/>
              <w:jc w:val="center"/>
            </w:pPr>
            <w:r>
              <w:rPr>
                <w:rFonts w:ascii="Arial" w:hAnsi="Arial"/>
                <w:b w:val="0"/>
                <w:color w:val="222222"/>
                <w:sz w:val="14"/>
              </w:rPr>
              <w:t>0.734±0.105</w:t>
            </w:r>
          </w:p>
        </w:tc>
        <w:tc>
          <w:tcPr>
            <w:tcW w:type="dxa" w:w="1368"/>
            <w:tcMar>
              <w:top w:w="90" w:type="dxa"/>
              <w:start w:w="95" w:type="dxa"/>
              <w:bottom w:w="90" w:type="dxa"/>
              <w:end w:w="95" w:type="dxa"/>
            </w:tcMar>
            <w:vAlign w:val="center"/>
            <w:shd w:fill="EAF0F6"/>
          </w:tcPr>
          <w:p>
            <w:pPr>
              <w:spacing w:after="20" w:before="20" w:line="240" w:lineRule="auto"/>
              <w:jc w:val="center"/>
            </w:pPr>
            <w:r>
              <w:rPr>
                <w:rFonts w:ascii="Arial" w:hAnsi="Arial"/>
                <w:b w:val="0"/>
                <w:color w:val="222222"/>
                <w:sz w:val="14"/>
              </w:rPr>
              <w:t>0.716±0.119</w:t>
            </w:r>
          </w:p>
        </w:tc>
        <w:tc>
          <w:tcPr>
            <w:tcW w:type="dxa" w:w="1440"/>
            <w:tcMar>
              <w:top w:w="90" w:type="dxa"/>
              <w:start w:w="95" w:type="dxa"/>
              <w:bottom w:w="90" w:type="dxa"/>
              <w:end w:w="95" w:type="dxa"/>
            </w:tcMar>
            <w:vAlign w:val="center"/>
            <w:shd w:fill="EAF0F6"/>
          </w:tcPr>
          <w:p>
            <w:pPr>
              <w:spacing w:after="20" w:before="20" w:line="240" w:lineRule="auto"/>
              <w:jc w:val="center"/>
            </w:pPr>
            <w:r>
              <w:rPr>
                <w:rFonts w:ascii="Arial" w:hAnsi="Arial"/>
                <w:b w:val="0"/>
                <w:color w:val="222222"/>
                <w:sz w:val="14"/>
              </w:rPr>
              <w:t>0.946±0.045 / 0.913±0.069</w:t>
            </w:r>
          </w:p>
        </w:tc>
      </w:tr>
      <w:tr>
        <w:trPr>
          <w:cantSplit/>
          <w:cantSplit/>
        </w:trPr>
        <w:tc>
          <w:tcPr>
            <w:tcW w:type="dxa" w:w="2045"/>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Logistic regression</w:t>
            </w:r>
          </w:p>
        </w:tc>
        <w:tc>
          <w:tcPr>
            <w:tcW w:type="dxa" w:w="1368"/>
            <w:tcMar>
              <w:top w:w="90" w:type="dxa"/>
              <w:start w:w="95" w:type="dxa"/>
              <w:bottom w:w="90" w:type="dxa"/>
              <w:end w:w="95" w:type="dxa"/>
            </w:tcMar>
            <w:vAlign w:val="center"/>
            <w:shd w:fill="FFFFFF"/>
          </w:tcPr>
          <w:p>
            <w:pPr>
              <w:spacing w:after="20" w:before="20" w:line="240" w:lineRule="auto"/>
              <w:jc w:val="center"/>
            </w:pPr>
            <w:r>
              <w:rPr>
                <w:rFonts w:ascii="Arial" w:hAnsi="Arial"/>
                <w:b w:val="0"/>
                <w:color w:val="222222"/>
                <w:sz w:val="14"/>
              </w:rPr>
              <w:t>0.764±0.099</w:t>
            </w:r>
          </w:p>
        </w:tc>
        <w:tc>
          <w:tcPr>
            <w:tcW w:type="dxa" w:w="1512"/>
            <w:tcMar>
              <w:top w:w="90" w:type="dxa"/>
              <w:start w:w="95" w:type="dxa"/>
              <w:bottom w:w="90" w:type="dxa"/>
              <w:end w:w="95" w:type="dxa"/>
            </w:tcMar>
            <w:vAlign w:val="center"/>
            <w:shd w:fill="FFFFFF"/>
          </w:tcPr>
          <w:p>
            <w:pPr>
              <w:spacing w:after="20" w:before="20" w:line="240" w:lineRule="auto"/>
              <w:jc w:val="center"/>
            </w:pPr>
            <w:r>
              <w:rPr>
                <w:rFonts w:ascii="Arial" w:hAnsi="Arial"/>
                <w:b w:val="0"/>
                <w:color w:val="222222"/>
                <w:sz w:val="14"/>
              </w:rPr>
              <w:t>0.824±0.077</w:t>
            </w:r>
          </w:p>
        </w:tc>
        <w:tc>
          <w:tcPr>
            <w:tcW w:type="dxa" w:w="1440"/>
            <w:tcMar>
              <w:top w:w="90" w:type="dxa"/>
              <w:start w:w="95" w:type="dxa"/>
              <w:bottom w:w="90" w:type="dxa"/>
              <w:end w:w="95" w:type="dxa"/>
            </w:tcMar>
            <w:vAlign w:val="center"/>
            <w:shd w:fill="FFFFFF"/>
          </w:tcPr>
          <w:p>
            <w:pPr>
              <w:spacing w:after="20" w:before="20" w:line="240" w:lineRule="auto"/>
              <w:jc w:val="center"/>
            </w:pPr>
            <w:r>
              <w:rPr>
                <w:rFonts w:ascii="Arial" w:hAnsi="Arial"/>
                <w:b w:val="0"/>
                <w:color w:val="222222"/>
                <w:sz w:val="14"/>
              </w:rPr>
              <w:t>0.764±0.099</w:t>
            </w:r>
          </w:p>
        </w:tc>
        <w:tc>
          <w:tcPr>
            <w:tcW w:type="dxa" w:w="1368"/>
            <w:tcMar>
              <w:top w:w="90" w:type="dxa"/>
              <w:start w:w="95" w:type="dxa"/>
              <w:bottom w:w="90" w:type="dxa"/>
              <w:end w:w="95" w:type="dxa"/>
            </w:tcMar>
            <w:vAlign w:val="center"/>
            <w:shd w:fill="FFFFFF"/>
          </w:tcPr>
          <w:p>
            <w:pPr>
              <w:spacing w:after="20" w:before="20" w:line="240" w:lineRule="auto"/>
              <w:jc w:val="center"/>
            </w:pPr>
            <w:r>
              <w:rPr>
                <w:rFonts w:ascii="Arial" w:hAnsi="Arial"/>
                <w:b w:val="0"/>
                <w:color w:val="222222"/>
                <w:sz w:val="14"/>
              </w:rPr>
              <w:t>0.751±0.108</w:t>
            </w:r>
          </w:p>
        </w:tc>
        <w:tc>
          <w:tcPr>
            <w:tcW w:type="dxa" w:w="1440"/>
            <w:tcMar>
              <w:top w:w="90" w:type="dxa"/>
              <w:start w:w="95" w:type="dxa"/>
              <w:bottom w:w="90" w:type="dxa"/>
              <w:end w:w="95" w:type="dxa"/>
            </w:tcMar>
            <w:vAlign w:val="center"/>
            <w:shd w:fill="FFFFFF"/>
          </w:tcPr>
          <w:p>
            <w:pPr>
              <w:spacing w:after="20" w:before="20" w:line="240" w:lineRule="auto"/>
              <w:jc w:val="center"/>
            </w:pPr>
            <w:r>
              <w:rPr>
                <w:rFonts w:ascii="Arial" w:hAnsi="Arial"/>
                <w:b w:val="0"/>
                <w:color w:val="222222"/>
                <w:sz w:val="14"/>
              </w:rPr>
              <w:t>0.945±0.046 / 0.914±0.078</w:t>
            </w:r>
          </w:p>
        </w:tc>
      </w:tr>
      <w:tr>
        <w:trPr>
          <w:cantSplit/>
          <w:cantSplit/>
        </w:trPr>
        <w:tc>
          <w:tcPr>
            <w:tcW w:type="dxa" w:w="2045"/>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LDA</w:t>
            </w:r>
          </w:p>
        </w:tc>
        <w:tc>
          <w:tcPr>
            <w:tcW w:type="dxa" w:w="1368"/>
            <w:tcMar>
              <w:top w:w="90" w:type="dxa"/>
              <w:start w:w="95" w:type="dxa"/>
              <w:bottom w:w="90" w:type="dxa"/>
              <w:end w:w="95" w:type="dxa"/>
            </w:tcMar>
            <w:vAlign w:val="center"/>
            <w:shd w:fill="EAF0F6"/>
          </w:tcPr>
          <w:p>
            <w:pPr>
              <w:spacing w:after="20" w:before="20" w:line="240" w:lineRule="auto"/>
              <w:jc w:val="center"/>
            </w:pPr>
            <w:r>
              <w:rPr>
                <w:rFonts w:ascii="Arial" w:hAnsi="Arial"/>
                <w:b w:val="0"/>
                <w:color w:val="222222"/>
                <w:sz w:val="14"/>
              </w:rPr>
              <w:t>0.746±0.096</w:t>
            </w:r>
          </w:p>
        </w:tc>
        <w:tc>
          <w:tcPr>
            <w:tcW w:type="dxa" w:w="1512"/>
            <w:tcMar>
              <w:top w:w="90" w:type="dxa"/>
              <w:start w:w="95" w:type="dxa"/>
              <w:bottom w:w="90" w:type="dxa"/>
              <w:end w:w="95" w:type="dxa"/>
            </w:tcMar>
            <w:vAlign w:val="center"/>
            <w:shd w:fill="EAF0F6"/>
          </w:tcPr>
          <w:p>
            <w:pPr>
              <w:spacing w:after="20" w:before="20" w:line="240" w:lineRule="auto"/>
              <w:jc w:val="center"/>
            </w:pPr>
            <w:r>
              <w:rPr>
                <w:rFonts w:ascii="Arial" w:hAnsi="Arial"/>
                <w:b w:val="0"/>
                <w:color w:val="222222"/>
                <w:sz w:val="14"/>
              </w:rPr>
              <w:t>0.807±0.083</w:t>
            </w:r>
          </w:p>
        </w:tc>
        <w:tc>
          <w:tcPr>
            <w:tcW w:type="dxa" w:w="1440"/>
            <w:tcMar>
              <w:top w:w="90" w:type="dxa"/>
              <w:start w:w="95" w:type="dxa"/>
              <w:bottom w:w="90" w:type="dxa"/>
              <w:end w:w="95" w:type="dxa"/>
            </w:tcMar>
            <w:vAlign w:val="center"/>
            <w:shd w:fill="EAF0F6"/>
          </w:tcPr>
          <w:p>
            <w:pPr>
              <w:spacing w:after="20" w:before="20" w:line="240" w:lineRule="auto"/>
              <w:jc w:val="center"/>
            </w:pPr>
            <w:r>
              <w:rPr>
                <w:rFonts w:ascii="Arial" w:hAnsi="Arial"/>
                <w:b w:val="0"/>
                <w:color w:val="222222"/>
                <w:sz w:val="14"/>
              </w:rPr>
              <w:t>0.746±0.096</w:t>
            </w:r>
          </w:p>
        </w:tc>
        <w:tc>
          <w:tcPr>
            <w:tcW w:type="dxa" w:w="1368"/>
            <w:tcMar>
              <w:top w:w="90" w:type="dxa"/>
              <w:start w:w="95" w:type="dxa"/>
              <w:bottom w:w="90" w:type="dxa"/>
              <w:end w:w="95" w:type="dxa"/>
            </w:tcMar>
            <w:vAlign w:val="center"/>
            <w:shd w:fill="EAF0F6"/>
          </w:tcPr>
          <w:p>
            <w:pPr>
              <w:spacing w:after="20" w:before="20" w:line="240" w:lineRule="auto"/>
              <w:jc w:val="center"/>
            </w:pPr>
            <w:r>
              <w:rPr>
                <w:rFonts w:ascii="Arial" w:hAnsi="Arial"/>
                <w:b w:val="0"/>
                <w:color w:val="222222"/>
                <w:sz w:val="14"/>
              </w:rPr>
              <w:t>0.730±0.108</w:t>
            </w:r>
          </w:p>
        </w:tc>
        <w:tc>
          <w:tcPr>
            <w:tcW w:type="dxa" w:w="1440"/>
            <w:tcMar>
              <w:top w:w="90" w:type="dxa"/>
              <w:start w:w="95" w:type="dxa"/>
              <w:bottom w:w="90" w:type="dxa"/>
              <w:end w:w="95" w:type="dxa"/>
            </w:tcMar>
            <w:vAlign w:val="center"/>
            <w:shd w:fill="EAF0F6"/>
          </w:tcPr>
          <w:p>
            <w:pPr>
              <w:spacing w:after="20" w:before="20" w:line="240" w:lineRule="auto"/>
              <w:jc w:val="center"/>
            </w:pPr>
            <w:r>
              <w:rPr>
                <w:rFonts w:ascii="Arial" w:hAnsi="Arial"/>
                <w:b w:val="0"/>
                <w:color w:val="222222"/>
                <w:sz w:val="14"/>
              </w:rPr>
              <w:t>0.934±0.045 / 0.892±0.070</w:t>
            </w:r>
          </w:p>
        </w:tc>
      </w:tr>
      <w:tr>
        <w:trPr>
          <w:cantSplit/>
          <w:cantSplit/>
        </w:trPr>
        <w:tc>
          <w:tcPr>
            <w:tcW w:type="dxa" w:w="2045"/>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Linear SVM</w:t>
            </w:r>
          </w:p>
        </w:tc>
        <w:tc>
          <w:tcPr>
            <w:tcW w:type="dxa" w:w="1368"/>
            <w:tcMar>
              <w:top w:w="90" w:type="dxa"/>
              <w:start w:w="95" w:type="dxa"/>
              <w:bottom w:w="90" w:type="dxa"/>
              <w:end w:w="95" w:type="dxa"/>
            </w:tcMar>
            <w:vAlign w:val="center"/>
            <w:shd w:fill="FFFFFF"/>
          </w:tcPr>
          <w:p>
            <w:pPr>
              <w:spacing w:after="20" w:before="20" w:line="240" w:lineRule="auto"/>
              <w:jc w:val="center"/>
            </w:pPr>
            <w:r>
              <w:rPr>
                <w:rFonts w:ascii="Arial" w:hAnsi="Arial"/>
                <w:b w:val="0"/>
                <w:color w:val="222222"/>
                <w:sz w:val="14"/>
              </w:rPr>
              <w:t>0.741±0.102</w:t>
            </w:r>
          </w:p>
        </w:tc>
        <w:tc>
          <w:tcPr>
            <w:tcW w:type="dxa" w:w="1512"/>
            <w:tcMar>
              <w:top w:w="90" w:type="dxa"/>
              <w:start w:w="95" w:type="dxa"/>
              <w:bottom w:w="90" w:type="dxa"/>
              <w:end w:w="95" w:type="dxa"/>
            </w:tcMar>
            <w:vAlign w:val="center"/>
            <w:shd w:fill="FFFFFF"/>
          </w:tcPr>
          <w:p>
            <w:pPr>
              <w:spacing w:after="20" w:before="20" w:line="240" w:lineRule="auto"/>
              <w:jc w:val="center"/>
            </w:pPr>
            <w:r>
              <w:rPr>
                <w:rFonts w:ascii="Arial" w:hAnsi="Arial"/>
                <w:b w:val="0"/>
                <w:color w:val="222222"/>
                <w:sz w:val="14"/>
              </w:rPr>
              <w:t>0.804±0.077</w:t>
            </w:r>
          </w:p>
        </w:tc>
        <w:tc>
          <w:tcPr>
            <w:tcW w:type="dxa" w:w="1440"/>
            <w:tcMar>
              <w:top w:w="90" w:type="dxa"/>
              <w:start w:w="95" w:type="dxa"/>
              <w:bottom w:w="90" w:type="dxa"/>
              <w:end w:w="95" w:type="dxa"/>
            </w:tcMar>
            <w:vAlign w:val="center"/>
            <w:shd w:fill="FFFFFF"/>
          </w:tcPr>
          <w:p>
            <w:pPr>
              <w:spacing w:after="20" w:before="20" w:line="240" w:lineRule="auto"/>
              <w:jc w:val="center"/>
            </w:pPr>
            <w:r>
              <w:rPr>
                <w:rFonts w:ascii="Arial" w:hAnsi="Arial"/>
                <w:b w:val="0"/>
                <w:color w:val="222222"/>
                <w:sz w:val="14"/>
              </w:rPr>
              <w:t>0.741±0.102</w:t>
            </w:r>
          </w:p>
        </w:tc>
        <w:tc>
          <w:tcPr>
            <w:tcW w:type="dxa" w:w="1368"/>
            <w:tcMar>
              <w:top w:w="90" w:type="dxa"/>
              <w:start w:w="95" w:type="dxa"/>
              <w:bottom w:w="90" w:type="dxa"/>
              <w:end w:w="95" w:type="dxa"/>
            </w:tcMar>
            <w:vAlign w:val="center"/>
            <w:shd w:fill="FFFFFF"/>
          </w:tcPr>
          <w:p>
            <w:pPr>
              <w:spacing w:after="20" w:before="20" w:line="240" w:lineRule="auto"/>
              <w:jc w:val="center"/>
            </w:pPr>
            <w:r>
              <w:rPr>
                <w:rFonts w:ascii="Arial" w:hAnsi="Arial"/>
                <w:b w:val="0"/>
                <w:color w:val="222222"/>
                <w:sz w:val="14"/>
              </w:rPr>
              <w:t>0.726±0.113</w:t>
            </w:r>
          </w:p>
        </w:tc>
        <w:tc>
          <w:tcPr>
            <w:tcW w:type="dxa" w:w="1440"/>
            <w:tcMar>
              <w:top w:w="90" w:type="dxa"/>
              <w:start w:w="95" w:type="dxa"/>
              <w:bottom w:w="90" w:type="dxa"/>
              <w:end w:w="95" w:type="dxa"/>
            </w:tcMar>
            <w:vAlign w:val="center"/>
            <w:shd w:fill="FFFFFF"/>
          </w:tcPr>
          <w:p>
            <w:pPr>
              <w:spacing w:after="20" w:before="20" w:line="240" w:lineRule="auto"/>
              <w:jc w:val="center"/>
            </w:pPr>
            <w:r>
              <w:rPr>
                <w:rFonts w:ascii="Arial" w:hAnsi="Arial"/>
                <w:b w:val="0"/>
                <w:color w:val="222222"/>
                <w:sz w:val="14"/>
              </w:rPr>
              <w:t>0.945±0.046 / 0.911±0.077</w:t>
            </w:r>
          </w:p>
        </w:tc>
      </w:tr>
      <w:tr>
        <w:trPr>
          <w:cantSplit/>
          <w:cantSplit/>
        </w:trPr>
        <w:tc>
          <w:tcPr>
            <w:tcW w:type="dxa" w:w="2045"/>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Random forest</w:t>
            </w:r>
          </w:p>
        </w:tc>
        <w:tc>
          <w:tcPr>
            <w:tcW w:type="dxa" w:w="1368"/>
            <w:tcMar>
              <w:top w:w="90" w:type="dxa"/>
              <w:start w:w="95" w:type="dxa"/>
              <w:bottom w:w="90" w:type="dxa"/>
              <w:end w:w="95" w:type="dxa"/>
            </w:tcMar>
            <w:vAlign w:val="center"/>
            <w:shd w:fill="EAF0F6"/>
          </w:tcPr>
          <w:p>
            <w:pPr>
              <w:spacing w:after="20" w:before="20" w:line="240" w:lineRule="auto"/>
              <w:jc w:val="center"/>
            </w:pPr>
            <w:r>
              <w:rPr>
                <w:rFonts w:ascii="Arial" w:hAnsi="Arial"/>
                <w:b w:val="0"/>
                <w:color w:val="222222"/>
                <w:sz w:val="14"/>
              </w:rPr>
              <w:t>0.646±0.166</w:t>
            </w:r>
          </w:p>
        </w:tc>
        <w:tc>
          <w:tcPr>
            <w:tcW w:type="dxa" w:w="1512"/>
            <w:tcMar>
              <w:top w:w="90" w:type="dxa"/>
              <w:start w:w="95" w:type="dxa"/>
              <w:bottom w:w="90" w:type="dxa"/>
              <w:end w:w="95" w:type="dxa"/>
            </w:tcMar>
            <w:vAlign w:val="center"/>
            <w:shd w:fill="EAF0F6"/>
          </w:tcPr>
          <w:p>
            <w:pPr>
              <w:spacing w:after="20" w:before="20" w:line="240" w:lineRule="auto"/>
              <w:jc w:val="center"/>
            </w:pPr>
            <w:r>
              <w:rPr>
                <w:rFonts w:ascii="Arial" w:hAnsi="Arial"/>
                <w:b w:val="0"/>
                <w:color w:val="222222"/>
                <w:sz w:val="14"/>
              </w:rPr>
              <w:t>0.702±0.167</w:t>
            </w:r>
          </w:p>
        </w:tc>
        <w:tc>
          <w:tcPr>
            <w:tcW w:type="dxa" w:w="1440"/>
            <w:tcMar>
              <w:top w:w="90" w:type="dxa"/>
              <w:start w:w="95" w:type="dxa"/>
              <w:bottom w:w="90" w:type="dxa"/>
              <w:end w:w="95" w:type="dxa"/>
            </w:tcMar>
            <w:vAlign w:val="center"/>
            <w:shd w:fill="EAF0F6"/>
          </w:tcPr>
          <w:p>
            <w:pPr>
              <w:spacing w:after="20" w:before="20" w:line="240" w:lineRule="auto"/>
              <w:jc w:val="center"/>
            </w:pPr>
            <w:r>
              <w:rPr>
                <w:rFonts w:ascii="Arial" w:hAnsi="Arial"/>
                <w:b w:val="0"/>
                <w:color w:val="222222"/>
                <w:sz w:val="14"/>
              </w:rPr>
              <w:t>0.646±0.166</w:t>
            </w:r>
          </w:p>
        </w:tc>
        <w:tc>
          <w:tcPr>
            <w:tcW w:type="dxa" w:w="1368"/>
            <w:tcMar>
              <w:top w:w="90" w:type="dxa"/>
              <w:start w:w="95" w:type="dxa"/>
              <w:bottom w:w="90" w:type="dxa"/>
              <w:end w:w="95" w:type="dxa"/>
            </w:tcMar>
            <w:vAlign w:val="center"/>
            <w:shd w:fill="EAF0F6"/>
          </w:tcPr>
          <w:p>
            <w:pPr>
              <w:spacing w:after="20" w:before="20" w:line="240" w:lineRule="auto"/>
              <w:jc w:val="center"/>
            </w:pPr>
            <w:r>
              <w:rPr>
                <w:rFonts w:ascii="Arial" w:hAnsi="Arial"/>
                <w:b w:val="0"/>
                <w:color w:val="222222"/>
                <w:sz w:val="14"/>
              </w:rPr>
              <w:t>0.611±0.200</w:t>
            </w:r>
          </w:p>
        </w:tc>
        <w:tc>
          <w:tcPr>
            <w:tcW w:type="dxa" w:w="1440"/>
            <w:tcMar>
              <w:top w:w="90" w:type="dxa"/>
              <w:start w:w="95" w:type="dxa"/>
              <w:bottom w:w="90" w:type="dxa"/>
              <w:end w:w="95" w:type="dxa"/>
            </w:tcMar>
            <w:vAlign w:val="center"/>
            <w:shd w:fill="EAF0F6"/>
          </w:tcPr>
          <w:p>
            <w:pPr>
              <w:spacing w:after="20" w:before="20" w:line="240" w:lineRule="auto"/>
              <w:jc w:val="center"/>
            </w:pPr>
            <w:r>
              <w:rPr>
                <w:rFonts w:ascii="Arial" w:hAnsi="Arial"/>
                <w:b w:val="0"/>
                <w:color w:val="222222"/>
                <w:sz w:val="14"/>
              </w:rPr>
              <w:t>0.898±0.067 / 0.847±0.096</w:t>
            </w:r>
          </w:p>
        </w:tc>
      </w:tr>
      <w:tr>
        <w:trPr>
          <w:cantSplit/>
          <w:cantSplit/>
        </w:trPr>
        <w:tc>
          <w:tcPr>
            <w:tcW w:type="dxa" w:w="2045"/>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Gradient-boosted stumps</w:t>
            </w:r>
          </w:p>
        </w:tc>
        <w:tc>
          <w:tcPr>
            <w:tcW w:type="dxa" w:w="1368"/>
            <w:tcMar>
              <w:top w:w="90" w:type="dxa"/>
              <w:start w:w="95" w:type="dxa"/>
              <w:bottom w:w="90" w:type="dxa"/>
              <w:end w:w="95" w:type="dxa"/>
            </w:tcMar>
            <w:vAlign w:val="center"/>
            <w:shd w:fill="FFFFFF"/>
          </w:tcPr>
          <w:p>
            <w:pPr>
              <w:spacing w:after="20" w:before="20" w:line="240" w:lineRule="auto"/>
              <w:jc w:val="center"/>
            </w:pPr>
            <w:r>
              <w:rPr>
                <w:rFonts w:ascii="Arial" w:hAnsi="Arial"/>
                <w:b w:val="0"/>
                <w:color w:val="222222"/>
                <w:sz w:val="14"/>
              </w:rPr>
              <w:t>0.540±0.144</w:t>
            </w:r>
          </w:p>
        </w:tc>
        <w:tc>
          <w:tcPr>
            <w:tcW w:type="dxa" w:w="1512"/>
            <w:tcMar>
              <w:top w:w="90" w:type="dxa"/>
              <w:start w:w="95" w:type="dxa"/>
              <w:bottom w:w="90" w:type="dxa"/>
              <w:end w:w="95" w:type="dxa"/>
            </w:tcMar>
            <w:vAlign w:val="center"/>
            <w:shd w:fill="FFFFFF"/>
          </w:tcPr>
          <w:p>
            <w:pPr>
              <w:spacing w:after="20" w:before="20" w:line="240" w:lineRule="auto"/>
              <w:jc w:val="center"/>
            </w:pPr>
            <w:r>
              <w:rPr>
                <w:rFonts w:ascii="Arial" w:hAnsi="Arial"/>
                <w:b w:val="0"/>
                <w:color w:val="222222"/>
                <w:sz w:val="14"/>
              </w:rPr>
              <w:t>0.511±0.218</w:t>
            </w:r>
          </w:p>
        </w:tc>
        <w:tc>
          <w:tcPr>
            <w:tcW w:type="dxa" w:w="1440"/>
            <w:tcMar>
              <w:top w:w="90" w:type="dxa"/>
              <w:start w:w="95" w:type="dxa"/>
              <w:bottom w:w="90" w:type="dxa"/>
              <w:end w:w="95" w:type="dxa"/>
            </w:tcMar>
            <w:vAlign w:val="center"/>
            <w:shd w:fill="FFFFFF"/>
          </w:tcPr>
          <w:p>
            <w:pPr>
              <w:spacing w:after="20" w:before="20" w:line="240" w:lineRule="auto"/>
              <w:jc w:val="center"/>
            </w:pPr>
            <w:r>
              <w:rPr>
                <w:rFonts w:ascii="Arial" w:hAnsi="Arial"/>
                <w:b w:val="0"/>
                <w:color w:val="222222"/>
                <w:sz w:val="14"/>
              </w:rPr>
              <w:t>0.540±0.144</w:t>
            </w:r>
          </w:p>
        </w:tc>
        <w:tc>
          <w:tcPr>
            <w:tcW w:type="dxa" w:w="1368"/>
            <w:tcMar>
              <w:top w:w="90" w:type="dxa"/>
              <w:start w:w="95" w:type="dxa"/>
              <w:bottom w:w="90" w:type="dxa"/>
              <w:end w:w="95" w:type="dxa"/>
            </w:tcMar>
            <w:vAlign w:val="center"/>
            <w:shd w:fill="FFFFFF"/>
          </w:tcPr>
          <w:p>
            <w:pPr>
              <w:spacing w:after="20" w:before="20" w:line="240" w:lineRule="auto"/>
              <w:jc w:val="center"/>
            </w:pPr>
            <w:r>
              <w:rPr>
                <w:rFonts w:ascii="Arial" w:hAnsi="Arial"/>
                <w:b w:val="0"/>
                <w:color w:val="222222"/>
                <w:sz w:val="14"/>
              </w:rPr>
              <w:t>0.464±0.179</w:t>
            </w:r>
          </w:p>
        </w:tc>
        <w:tc>
          <w:tcPr>
            <w:tcW w:type="dxa" w:w="1440"/>
            <w:tcMar>
              <w:top w:w="90" w:type="dxa"/>
              <w:start w:w="95" w:type="dxa"/>
              <w:bottom w:w="90" w:type="dxa"/>
              <w:end w:w="95" w:type="dxa"/>
            </w:tcMar>
            <w:vAlign w:val="center"/>
            <w:shd w:fill="FFFFFF"/>
          </w:tcPr>
          <w:p>
            <w:pPr>
              <w:spacing w:after="20" w:before="20" w:line="240" w:lineRule="auto"/>
              <w:jc w:val="center"/>
            </w:pPr>
            <w:r>
              <w:rPr>
                <w:rFonts w:ascii="Arial" w:hAnsi="Arial"/>
                <w:b w:val="0"/>
                <w:color w:val="222222"/>
                <w:sz w:val="14"/>
              </w:rPr>
              <w:t>0.760±0.112 / 0.601±0.122</w:t>
            </w:r>
          </w:p>
        </w:tc>
      </w:tr>
      <w:tr>
        <w:trPr>
          <w:cantSplit/>
          <w:cantSplit/>
        </w:trPr>
        <w:tc>
          <w:tcPr>
            <w:tcW w:type="dxa" w:w="2045"/>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Logistic (RMS+MDF)</w:t>
            </w:r>
          </w:p>
        </w:tc>
        <w:tc>
          <w:tcPr>
            <w:tcW w:type="dxa" w:w="1368"/>
            <w:tcMar>
              <w:top w:w="90" w:type="dxa"/>
              <w:start w:w="95" w:type="dxa"/>
              <w:bottom w:w="90" w:type="dxa"/>
              <w:end w:w="95" w:type="dxa"/>
            </w:tcMar>
            <w:vAlign w:val="center"/>
            <w:shd w:fill="EAF0F6"/>
          </w:tcPr>
          <w:p>
            <w:pPr>
              <w:spacing w:after="20" w:before="20" w:line="240" w:lineRule="auto"/>
              <w:jc w:val="center"/>
            </w:pPr>
            <w:r>
              <w:rPr>
                <w:rFonts w:ascii="Arial" w:hAnsi="Arial"/>
                <w:b w:val="0"/>
                <w:color w:val="222222"/>
                <w:sz w:val="14"/>
              </w:rPr>
              <w:t>0.532±0.146</w:t>
            </w:r>
          </w:p>
        </w:tc>
        <w:tc>
          <w:tcPr>
            <w:tcW w:type="dxa" w:w="1512"/>
            <w:tcMar>
              <w:top w:w="90" w:type="dxa"/>
              <w:start w:w="95" w:type="dxa"/>
              <w:bottom w:w="90" w:type="dxa"/>
              <w:end w:w="95" w:type="dxa"/>
            </w:tcMar>
            <w:vAlign w:val="center"/>
            <w:shd w:fill="EAF0F6"/>
          </w:tcPr>
          <w:p>
            <w:pPr>
              <w:spacing w:after="20" w:before="20" w:line="240" w:lineRule="auto"/>
              <w:jc w:val="center"/>
            </w:pPr>
            <w:r>
              <w:rPr>
                <w:rFonts w:ascii="Arial" w:hAnsi="Arial"/>
                <w:b w:val="0"/>
                <w:color w:val="222222"/>
                <w:sz w:val="14"/>
              </w:rPr>
              <w:t>0.522±0.186</w:t>
            </w:r>
          </w:p>
        </w:tc>
        <w:tc>
          <w:tcPr>
            <w:tcW w:type="dxa" w:w="1440"/>
            <w:tcMar>
              <w:top w:w="90" w:type="dxa"/>
              <w:start w:w="95" w:type="dxa"/>
              <w:bottom w:w="90" w:type="dxa"/>
              <w:end w:w="95" w:type="dxa"/>
            </w:tcMar>
            <w:vAlign w:val="center"/>
            <w:shd w:fill="EAF0F6"/>
          </w:tcPr>
          <w:p>
            <w:pPr>
              <w:spacing w:after="20" w:before="20" w:line="240" w:lineRule="auto"/>
              <w:jc w:val="center"/>
            </w:pPr>
            <w:r>
              <w:rPr>
                <w:rFonts w:ascii="Arial" w:hAnsi="Arial"/>
                <w:b w:val="0"/>
                <w:color w:val="222222"/>
                <w:sz w:val="14"/>
              </w:rPr>
              <w:t>0.532±0.146</w:t>
            </w:r>
          </w:p>
        </w:tc>
        <w:tc>
          <w:tcPr>
            <w:tcW w:type="dxa" w:w="1368"/>
            <w:tcMar>
              <w:top w:w="90" w:type="dxa"/>
              <w:start w:w="95" w:type="dxa"/>
              <w:bottom w:w="90" w:type="dxa"/>
              <w:end w:w="95" w:type="dxa"/>
            </w:tcMar>
            <w:vAlign w:val="center"/>
            <w:shd w:fill="EAF0F6"/>
          </w:tcPr>
          <w:p>
            <w:pPr>
              <w:spacing w:after="20" w:before="20" w:line="240" w:lineRule="auto"/>
              <w:jc w:val="center"/>
            </w:pPr>
            <w:r>
              <w:rPr>
                <w:rFonts w:ascii="Arial" w:hAnsi="Arial"/>
                <w:b w:val="0"/>
                <w:color w:val="222222"/>
                <w:sz w:val="14"/>
              </w:rPr>
              <w:t>0.454±0.172</w:t>
            </w:r>
          </w:p>
        </w:tc>
        <w:tc>
          <w:tcPr>
            <w:tcW w:type="dxa" w:w="1440"/>
            <w:tcMar>
              <w:top w:w="90" w:type="dxa"/>
              <w:start w:w="95" w:type="dxa"/>
              <w:bottom w:w="90" w:type="dxa"/>
              <w:end w:w="95" w:type="dxa"/>
            </w:tcMar>
            <w:vAlign w:val="center"/>
            <w:shd w:fill="EAF0F6"/>
          </w:tcPr>
          <w:p>
            <w:pPr>
              <w:spacing w:after="20" w:before="20" w:line="240" w:lineRule="auto"/>
              <w:jc w:val="center"/>
            </w:pPr>
            <w:r>
              <w:rPr>
                <w:rFonts w:ascii="Arial" w:hAnsi="Arial"/>
                <w:b w:val="0"/>
                <w:color w:val="222222"/>
                <w:sz w:val="14"/>
              </w:rPr>
              <w:t>0.814±0.091 / 0.725±0.123</w:t>
            </w:r>
          </w:p>
        </w:tc>
      </w:tr>
      <w:tr>
        <w:trPr>
          <w:cantSplit/>
          <w:cantSplit/>
        </w:trPr>
        <w:tc>
          <w:tcPr>
            <w:tcW w:type="dxa" w:w="2045"/>
            <w:tcMar>
              <w:top w:w="90" w:type="dxa"/>
              <w:start w:w="95" w:type="dxa"/>
              <w:bottom w:w="90" w:type="dxa"/>
              <w:end w:w="95" w:type="dxa"/>
            </w:tcMar>
            <w:vAlign w:val="center"/>
            <w:shd w:fill="FFFFFF"/>
          </w:tcPr>
          <w:p>
            <w:pPr>
              <w:spacing w:after="20" w:before="20" w:line="240" w:lineRule="auto"/>
            </w:pPr>
            <w:r>
              <w:rPr>
                <w:rFonts w:ascii="Arial" w:hAnsi="Arial"/>
                <w:b w:val="0"/>
                <w:color w:val="222222"/>
                <w:sz w:val="14"/>
              </w:rPr>
              <w:t>LDA (RMS+MDF)</w:t>
            </w:r>
          </w:p>
        </w:tc>
        <w:tc>
          <w:tcPr>
            <w:tcW w:type="dxa" w:w="1368"/>
            <w:tcMar>
              <w:top w:w="90" w:type="dxa"/>
              <w:start w:w="95" w:type="dxa"/>
              <w:bottom w:w="90" w:type="dxa"/>
              <w:end w:w="95" w:type="dxa"/>
            </w:tcMar>
            <w:vAlign w:val="center"/>
            <w:shd w:fill="FFFFFF"/>
          </w:tcPr>
          <w:p>
            <w:pPr>
              <w:spacing w:after="20" w:before="20" w:line="240" w:lineRule="auto"/>
              <w:jc w:val="center"/>
            </w:pPr>
            <w:r>
              <w:rPr>
                <w:rFonts w:ascii="Arial" w:hAnsi="Arial"/>
                <w:b w:val="0"/>
                <w:color w:val="222222"/>
                <w:sz w:val="14"/>
              </w:rPr>
              <w:t>0.548±0.145</w:t>
            </w:r>
          </w:p>
        </w:tc>
        <w:tc>
          <w:tcPr>
            <w:tcW w:type="dxa" w:w="1512"/>
            <w:tcMar>
              <w:top w:w="90" w:type="dxa"/>
              <w:start w:w="95" w:type="dxa"/>
              <w:bottom w:w="90" w:type="dxa"/>
              <w:end w:w="95" w:type="dxa"/>
            </w:tcMar>
            <w:vAlign w:val="center"/>
            <w:shd w:fill="FFFFFF"/>
          </w:tcPr>
          <w:p>
            <w:pPr>
              <w:spacing w:after="20" w:before="20" w:line="240" w:lineRule="auto"/>
              <w:jc w:val="center"/>
            </w:pPr>
            <w:r>
              <w:rPr>
                <w:rFonts w:ascii="Arial" w:hAnsi="Arial"/>
                <w:b w:val="0"/>
                <w:color w:val="222222"/>
                <w:sz w:val="14"/>
              </w:rPr>
              <w:t>0.563±0.172</w:t>
            </w:r>
          </w:p>
        </w:tc>
        <w:tc>
          <w:tcPr>
            <w:tcW w:type="dxa" w:w="1440"/>
            <w:tcMar>
              <w:top w:w="90" w:type="dxa"/>
              <w:start w:w="95" w:type="dxa"/>
              <w:bottom w:w="90" w:type="dxa"/>
              <w:end w:w="95" w:type="dxa"/>
            </w:tcMar>
            <w:vAlign w:val="center"/>
            <w:shd w:fill="FFFFFF"/>
          </w:tcPr>
          <w:p>
            <w:pPr>
              <w:spacing w:after="20" w:before="20" w:line="240" w:lineRule="auto"/>
              <w:jc w:val="center"/>
            </w:pPr>
            <w:r>
              <w:rPr>
                <w:rFonts w:ascii="Arial" w:hAnsi="Arial"/>
                <w:b w:val="0"/>
                <w:color w:val="222222"/>
                <w:sz w:val="14"/>
              </w:rPr>
              <w:t>0.548±0.145</w:t>
            </w:r>
          </w:p>
        </w:tc>
        <w:tc>
          <w:tcPr>
            <w:tcW w:type="dxa" w:w="1368"/>
            <w:tcMar>
              <w:top w:w="90" w:type="dxa"/>
              <w:start w:w="95" w:type="dxa"/>
              <w:bottom w:w="90" w:type="dxa"/>
              <w:end w:w="95" w:type="dxa"/>
            </w:tcMar>
            <w:vAlign w:val="center"/>
            <w:shd w:fill="FFFFFF"/>
          </w:tcPr>
          <w:p>
            <w:pPr>
              <w:spacing w:after="20" w:before="20" w:line="240" w:lineRule="auto"/>
              <w:jc w:val="center"/>
            </w:pPr>
            <w:r>
              <w:rPr>
                <w:rFonts w:ascii="Arial" w:hAnsi="Arial"/>
                <w:b w:val="0"/>
                <w:color w:val="222222"/>
                <w:sz w:val="14"/>
              </w:rPr>
              <w:t>0.476±0.176</w:t>
            </w:r>
          </w:p>
        </w:tc>
        <w:tc>
          <w:tcPr>
            <w:tcW w:type="dxa" w:w="1440"/>
            <w:tcMar>
              <w:top w:w="90" w:type="dxa"/>
              <w:start w:w="95" w:type="dxa"/>
              <w:bottom w:w="90" w:type="dxa"/>
              <w:end w:w="95" w:type="dxa"/>
            </w:tcMar>
            <w:vAlign w:val="center"/>
            <w:shd w:fill="FFFFFF"/>
          </w:tcPr>
          <w:p>
            <w:pPr>
              <w:spacing w:after="20" w:before="20" w:line="240" w:lineRule="auto"/>
              <w:jc w:val="center"/>
            </w:pPr>
            <w:r>
              <w:rPr>
                <w:rFonts w:ascii="Arial" w:hAnsi="Arial"/>
                <w:b w:val="0"/>
                <w:color w:val="222222"/>
                <w:sz w:val="14"/>
              </w:rPr>
              <w:t>0.803±0.071 / 0.704±0.087</w:t>
            </w:r>
          </w:p>
        </w:tc>
      </w:tr>
      <w:tr>
        <w:trPr>
          <w:cantSplit/>
          <w:cantSplit/>
        </w:trPr>
        <w:tc>
          <w:tcPr>
            <w:tcW w:type="dxa" w:w="2045"/>
            <w:tcMar>
              <w:top w:w="90" w:type="dxa"/>
              <w:start w:w="95" w:type="dxa"/>
              <w:bottom w:w="90" w:type="dxa"/>
              <w:end w:w="95" w:type="dxa"/>
            </w:tcMar>
            <w:vAlign w:val="center"/>
            <w:shd w:fill="EAF0F6"/>
          </w:tcPr>
          <w:p>
            <w:pPr>
              <w:spacing w:after="20" w:before="20" w:line="240" w:lineRule="auto"/>
            </w:pPr>
            <w:r>
              <w:rPr>
                <w:rFonts w:ascii="Arial" w:hAnsi="Arial"/>
                <w:b w:val="0"/>
                <w:color w:val="222222"/>
                <w:sz w:val="14"/>
              </w:rPr>
              <w:t>Global nested selector</w:t>
            </w:r>
          </w:p>
        </w:tc>
        <w:tc>
          <w:tcPr>
            <w:tcW w:type="dxa" w:w="1368"/>
            <w:tcMar>
              <w:top w:w="90" w:type="dxa"/>
              <w:start w:w="95" w:type="dxa"/>
              <w:bottom w:w="90" w:type="dxa"/>
              <w:end w:w="95" w:type="dxa"/>
            </w:tcMar>
            <w:vAlign w:val="center"/>
            <w:shd w:fill="EAF0F6"/>
          </w:tcPr>
          <w:p>
            <w:pPr>
              <w:spacing w:after="20" w:before="20" w:line="240" w:lineRule="auto"/>
              <w:jc w:val="center"/>
            </w:pPr>
            <w:r>
              <w:rPr>
                <w:rFonts w:ascii="Arial" w:hAnsi="Arial"/>
                <w:b w:val="0"/>
                <w:color w:val="222222"/>
                <w:sz w:val="14"/>
              </w:rPr>
              <w:t>0.755±0.088</w:t>
            </w:r>
          </w:p>
        </w:tc>
        <w:tc>
          <w:tcPr>
            <w:tcW w:type="dxa" w:w="1512"/>
            <w:tcMar>
              <w:top w:w="90" w:type="dxa"/>
              <w:start w:w="95" w:type="dxa"/>
              <w:bottom w:w="90" w:type="dxa"/>
              <w:end w:w="95" w:type="dxa"/>
            </w:tcMar>
            <w:vAlign w:val="center"/>
            <w:shd w:fill="EAF0F6"/>
          </w:tcPr>
          <w:p>
            <w:pPr>
              <w:spacing w:after="20" w:before="20" w:line="240" w:lineRule="auto"/>
              <w:jc w:val="center"/>
            </w:pPr>
            <w:r>
              <w:rPr>
                <w:rFonts w:ascii="Arial" w:hAnsi="Arial"/>
                <w:b w:val="0"/>
                <w:color w:val="222222"/>
                <w:sz w:val="14"/>
              </w:rPr>
              <w:t>0.810±0.074</w:t>
            </w:r>
          </w:p>
        </w:tc>
        <w:tc>
          <w:tcPr>
            <w:tcW w:type="dxa" w:w="1440"/>
            <w:tcMar>
              <w:top w:w="90" w:type="dxa"/>
              <w:start w:w="95" w:type="dxa"/>
              <w:bottom w:w="90" w:type="dxa"/>
              <w:end w:w="95" w:type="dxa"/>
            </w:tcMar>
            <w:vAlign w:val="center"/>
            <w:shd w:fill="EAF0F6"/>
          </w:tcPr>
          <w:p>
            <w:pPr>
              <w:spacing w:after="20" w:before="20" w:line="240" w:lineRule="auto"/>
              <w:jc w:val="center"/>
            </w:pPr>
            <w:r>
              <w:rPr>
                <w:rFonts w:ascii="Arial" w:hAnsi="Arial"/>
                <w:b w:val="0"/>
                <w:color w:val="222222"/>
                <w:sz w:val="14"/>
              </w:rPr>
              <w:t>0.755±0.088</w:t>
            </w:r>
          </w:p>
        </w:tc>
        <w:tc>
          <w:tcPr>
            <w:tcW w:type="dxa" w:w="1368"/>
            <w:tcMar>
              <w:top w:w="90" w:type="dxa"/>
              <w:start w:w="95" w:type="dxa"/>
              <w:bottom w:w="90" w:type="dxa"/>
              <w:end w:w="95" w:type="dxa"/>
            </w:tcMar>
            <w:vAlign w:val="center"/>
            <w:shd w:fill="EAF0F6"/>
          </w:tcPr>
          <w:p>
            <w:pPr>
              <w:spacing w:after="20" w:before="20" w:line="240" w:lineRule="auto"/>
              <w:jc w:val="center"/>
            </w:pPr>
            <w:r>
              <w:rPr>
                <w:rFonts w:ascii="Arial" w:hAnsi="Arial"/>
                <w:b w:val="0"/>
                <w:color w:val="222222"/>
                <w:sz w:val="14"/>
              </w:rPr>
              <w:t>0.740±0.099</w:t>
            </w:r>
          </w:p>
        </w:tc>
        <w:tc>
          <w:tcPr>
            <w:tcW w:type="dxa" w:w="1440"/>
            <w:tcMar>
              <w:top w:w="90" w:type="dxa"/>
              <w:start w:w="95" w:type="dxa"/>
              <w:bottom w:w="90" w:type="dxa"/>
              <w:end w:w="95" w:type="dxa"/>
            </w:tcMar>
            <w:vAlign w:val="center"/>
            <w:shd w:fill="EAF0F6"/>
          </w:tcPr>
          <w:p>
            <w:pPr>
              <w:spacing w:after="20" w:before="20" w:line="240" w:lineRule="auto"/>
              <w:jc w:val="center"/>
            </w:pPr>
            <w:r>
              <w:rPr>
                <w:rFonts w:ascii="Arial" w:hAnsi="Arial"/>
                <w:b w:val="0"/>
                <w:color w:val="222222"/>
                <w:sz w:val="14"/>
              </w:rPr>
              <w:t>0.941±0.038 / 0.906±0.064</w:t>
            </w:r>
          </w:p>
        </w:tc>
      </w:tr>
    </w:tbl>
    <w:p>
      <w:pPr>
        <w:spacing w:before="60" w:after="120"/>
      </w:pPr>
      <w:r>
        <w:rPr>
          <w:rFonts w:ascii="Arial" w:hAnsi="Arial"/>
          <w:sz w:val="17"/>
        </w:rPr>
        <w:t>Note: ROC-AUC and average precision use each fold’s continuous class scores (probabilities or model-specific discriminant/margin scores). They are not evidence of probability calibration. Calibration scores are not pooled for the global selector because its selected folds mix logistic probabilities and LDA discriminant scores.</w:t>
      </w:r>
    </w:p>
    <w:p>
      <w:pPr>
        <w:widowControl/>
        <w:spacing w:after="80"/>
      </w:pPr>
      <w:r>
        <w:rPr>
          <w:rFonts w:ascii="Arial" w:hAnsi="Arial"/>
          <w:b w:val="0"/>
          <w:i w:val="0"/>
          <w:sz w:val="18"/>
        </w:rPr>
        <w:t>The current run receipt records completion, 15 outer folds, four grouped inner folds, 325 fixed configurations, 11 model families, seven feature-family combinations, five filter branches, 414 selected segments, seed 20261018 and 5,000 participant bootstrap replicates. The receipt reports no use of participant.csv, external data, external compute, changes to signals, frozen labels or partition manifest. Python 3.12.14 and NumPy 2.3.5 were recorded; hardware specifications and a complete dependency lock were not. The local run and output hashes are retained in the phase record.</w:t>
      </w:r>
    </w:p>
    <w:p>
      <w:pPr>
        <w:keepNext/>
        <w:widowControl/>
        <w:spacing w:after="40" w:before="60"/>
        <w:jc w:val="center"/>
      </w:pPr>
      <w:r>
        <w:drawing>
          <wp:inline xmlns:a="http://schemas.openxmlformats.org/drawingml/2006/main" xmlns:pic="http://schemas.openxmlformats.org/drawingml/2006/picture">
            <wp:extent cx="5532120" cy="3134868"/>
            <wp:docPr id="3" name="Picture 3"/>
            <wp:cNvGraphicFramePr>
              <a:graphicFrameLocks noChangeAspect="1"/>
            </wp:cNvGraphicFramePr>
            <a:graphic>
              <a:graphicData uri="http://schemas.openxmlformats.org/drawingml/2006/picture">
                <pic:pic>
                  <pic:nvPicPr>
                    <pic:cNvPr id="0" name="MODEL_COMPARISON_F31_20261018.png"/>
                    <pic:cNvPicPr/>
                  </pic:nvPicPr>
                  <pic:blipFill>
                    <a:blip r:embed="rId13"/>
                    <a:stretch>
                      <a:fillRect/>
                    </a:stretch>
                  </pic:blipFill>
                  <pic:spPr>
                    <a:xfrm>
                      <a:off x="0" y="0"/>
                      <a:ext cx="5532120" cy="3134868"/>
                    </a:xfrm>
                    <a:prstGeom prst="rect"/>
                  </pic:spPr>
                </pic:pic>
              </a:graphicData>
            </a:graphic>
          </wp:inline>
        </w:drawing>
      </w:r>
    </w:p>
    <w:p>
      <w:pPr>
        <w:widowControl/>
        <w:spacing w:after="80"/>
      </w:pPr>
      <w:r>
        <w:rPr>
          <w:rFonts w:ascii="Arial" w:hAnsi="Arial"/>
          <w:b/>
          <w:i w:val="0"/>
          <w:sz w:val="17"/>
        </w:rPr>
        <w:t>Figure 3. Participant-level macro-F1 and macro ROC-AUC for all fixed model-family selectors and the global nested procedure, with 95% participant-bootstrap intervals. Dashed references show equal-prior chance; labels are temporal thirds.</w:t>
      </w:r>
    </w:p>
    <w:p>
      <w:pPr>
        <w:pageBreakBefore w:val="0"/>
        <w:spacing w:after="160" w:before="0"/>
        <w:jc w:val="both"/>
      </w:pPr>
    </w:p>
    <w:p>
      <w:pPr>
        <w:pStyle w:val="Heading2"/>
        <w:keepNext/>
        <w:pageBreakBefore w:val="0"/>
        <w:widowControl/>
        <w:spacing w:before="200" w:after="120"/>
      </w:pPr>
      <w:r>
        <w:t>6.2  Pooled per-class performance of the global nested selector</w:t>
      </w:r>
    </w:p>
    <w:p>
      <w:pPr>
        <w:spacing w:before="140" w:after="60"/>
      </w:pPr>
      <w:r>
        <w:rPr>
          <w:rFonts w:ascii="Arial" w:hAnsi="Arial"/>
          <w:b/>
          <w:color w:val="1F3B63"/>
          <w:sz w:val="18"/>
        </w:rPr>
        <w:t>TABLE IX. POOLED OUT-OF-FOLD PER-CLASS METRICS</w:t>
      </w:r>
    </w:p>
    <w:tbl>
      <w:tblPr>
        <w:tblStyle w:val="TableGrid"/>
        <w:tblW w:type="auto" w:w="0"/>
        <w:tblLook w:firstColumn="1" w:firstRow="1" w:lastColumn="0" w:lastRow="0" w:noHBand="0" w:noVBand="1" w:val="04A0"/>
        <w:jc w:val="center"/>
        <w:tblBorders>
          <w:top w:val="single" w:sz="4" w:space="0" w:color="9AA7B5"/>
          <w:left w:val="single" w:sz="4" w:space="0" w:color="9AA7B5"/>
          <w:bottom w:val="single" w:sz="4" w:space="0" w:color="9AA7B5"/>
          <w:right w:val="single" w:sz="4" w:space="0" w:color="9AA7B5"/>
          <w:insideH w:val="single" w:sz="4" w:space="0" w:color="9AA7B5"/>
          <w:insideV w:val="single" w:sz="4" w:space="0" w:color="9AA7B5"/>
        </w:tblBorders>
        <w:tblLayout w:type="autofit"/>
      </w:tblPr>
      <w:tblGrid>
        <w:gridCol w:w="2520"/>
        <w:gridCol w:w="1656"/>
        <w:gridCol w:w="1656"/>
        <w:gridCol w:w="1656"/>
        <w:gridCol w:w="1685"/>
      </w:tblGrid>
      <w:tr>
        <w:trPr>
          <w:tblHeader w:val="true"/>
          <w:cantSplit/>
          <w:tblHeader/>
        </w:trPr>
        <w:tc>
          <w:tcPr>
            <w:tcW w:type="dxa" w:w="2520"/>
            <w:shd w:val="clear" w:color="auto" w:fill="1F3B63"/>
            <w:tcMar>
              <w:top w:w="90" w:type="dxa"/>
              <w:start w:w="95" w:type="dxa"/>
              <w:bottom w:w="90" w:type="dxa"/>
              <w:end w:w="95" w:type="dxa"/>
            </w:tcMar>
            <w:vAlign w:val="center"/>
          </w:tcPr>
          <w:p>
            <w:pPr>
              <w:spacing w:after="20" w:before="20" w:line="240" w:lineRule="auto"/>
              <w:jc w:val="center"/>
            </w:pPr>
            <w:r>
              <w:rPr>
                <w:rFonts w:ascii="Arial" w:hAnsi="Arial"/>
                <w:b/>
                <w:color w:val="FFFFFF"/>
                <w:sz w:val="16"/>
              </w:rPr>
              <w:t>Proxy class</w:t>
            </w:r>
          </w:p>
        </w:tc>
        <w:tc>
          <w:tcPr>
            <w:tcW w:type="dxa" w:w="1656"/>
            <w:shd w:val="clear" w:color="auto" w:fill="1F3B63"/>
            <w:tcMar>
              <w:top w:w="90" w:type="dxa"/>
              <w:start w:w="95" w:type="dxa"/>
              <w:bottom w:w="90" w:type="dxa"/>
              <w:end w:w="95" w:type="dxa"/>
            </w:tcMar>
            <w:vAlign w:val="center"/>
          </w:tcPr>
          <w:p>
            <w:pPr>
              <w:spacing w:after="20" w:before="20" w:line="240" w:lineRule="auto"/>
              <w:jc w:val="center"/>
            </w:pPr>
            <w:r>
              <w:rPr>
                <w:rFonts w:ascii="Arial" w:hAnsi="Arial"/>
                <w:b/>
                <w:color w:val="FFFFFF"/>
                <w:sz w:val="16"/>
              </w:rPr>
              <w:t>Precision</w:t>
            </w:r>
          </w:p>
        </w:tc>
        <w:tc>
          <w:tcPr>
            <w:tcW w:type="dxa" w:w="1656"/>
            <w:shd w:val="clear" w:color="auto" w:fill="1F3B63"/>
            <w:tcMar>
              <w:top w:w="90" w:type="dxa"/>
              <w:start w:w="95" w:type="dxa"/>
              <w:bottom w:w="90" w:type="dxa"/>
              <w:end w:w="95" w:type="dxa"/>
            </w:tcMar>
            <w:vAlign w:val="center"/>
          </w:tcPr>
          <w:p>
            <w:pPr>
              <w:spacing w:after="20" w:before="20" w:line="240" w:lineRule="auto"/>
              <w:jc w:val="center"/>
            </w:pPr>
            <w:r>
              <w:rPr>
                <w:rFonts w:ascii="Arial" w:hAnsi="Arial"/>
                <w:b/>
                <w:color w:val="FFFFFF"/>
                <w:sz w:val="16"/>
              </w:rPr>
              <w:t>Recall</w:t>
            </w:r>
          </w:p>
        </w:tc>
        <w:tc>
          <w:tcPr>
            <w:tcW w:type="dxa" w:w="1656"/>
            <w:shd w:val="clear" w:color="auto" w:fill="1F3B63"/>
            <w:tcMar>
              <w:top w:w="90" w:type="dxa"/>
              <w:start w:w="95" w:type="dxa"/>
              <w:bottom w:w="90" w:type="dxa"/>
              <w:end w:w="95" w:type="dxa"/>
            </w:tcMar>
            <w:vAlign w:val="center"/>
          </w:tcPr>
          <w:p>
            <w:pPr>
              <w:spacing w:after="20" w:before="20" w:line="240" w:lineRule="auto"/>
              <w:jc w:val="center"/>
            </w:pPr>
            <w:r>
              <w:rPr>
                <w:rFonts w:ascii="Arial" w:hAnsi="Arial"/>
                <w:b/>
                <w:color w:val="FFFFFF"/>
                <w:sz w:val="16"/>
              </w:rPr>
              <w:t>F1</w:t>
            </w:r>
          </w:p>
        </w:tc>
        <w:tc>
          <w:tcPr>
            <w:tcW w:type="dxa" w:w="1685"/>
            <w:shd w:val="clear" w:color="auto" w:fill="1F3B63"/>
            <w:tcMar>
              <w:top w:w="90" w:type="dxa"/>
              <w:start w:w="95" w:type="dxa"/>
              <w:bottom w:w="90" w:type="dxa"/>
              <w:end w:w="95" w:type="dxa"/>
            </w:tcMar>
            <w:vAlign w:val="center"/>
          </w:tcPr>
          <w:p>
            <w:pPr>
              <w:spacing w:after="20" w:before="20" w:line="240" w:lineRule="auto"/>
              <w:jc w:val="center"/>
            </w:pPr>
            <w:r>
              <w:rPr>
                <w:rFonts w:ascii="Arial" w:hAnsi="Arial"/>
                <w:b/>
                <w:color w:val="FFFFFF"/>
                <w:sz w:val="16"/>
              </w:rPr>
              <w:t>Support</w:t>
            </w:r>
          </w:p>
        </w:tc>
      </w:tr>
      <w:tr>
        <w:trPr>
          <w:cantSplit/>
          <w:cantSplit/>
        </w:trPr>
        <w:tc>
          <w:tcPr>
            <w:tcW w:type="dxa" w:w="2520"/>
            <w:tcMar>
              <w:top w:w="90" w:type="dxa"/>
              <w:start w:w="95" w:type="dxa"/>
              <w:bottom w:w="90" w:type="dxa"/>
              <w:end w:w="95" w:type="dxa"/>
            </w:tcMar>
            <w:vAlign w:val="center"/>
            <w:shd w:fill="FFFFFF"/>
          </w:tcPr>
          <w:p>
            <w:pPr>
              <w:spacing w:after="20" w:before="20" w:line="240" w:lineRule="auto"/>
            </w:pPr>
            <w:r>
              <w:rPr>
                <w:rFonts w:ascii="Arial" w:hAnsi="Arial"/>
                <w:b w:val="0"/>
                <w:color w:val="222222"/>
                <w:sz w:val="16"/>
              </w:rPr>
              <w:t>Early</w:t>
            </w:r>
          </w:p>
        </w:tc>
        <w:tc>
          <w:tcPr>
            <w:tcW w:type="dxa" w:w="1656"/>
            <w:tcMar>
              <w:top w:w="90" w:type="dxa"/>
              <w:start w:w="95" w:type="dxa"/>
              <w:bottom w:w="90" w:type="dxa"/>
              <w:end w:w="95" w:type="dxa"/>
            </w:tcMar>
            <w:vAlign w:val="center"/>
            <w:shd w:fill="FFFFFF"/>
          </w:tcPr>
          <w:p>
            <w:pPr>
              <w:spacing w:after="20" w:before="20" w:line="240" w:lineRule="auto"/>
              <w:jc w:val="center"/>
            </w:pPr>
            <w:r>
              <w:rPr>
                <w:rFonts w:ascii="Arial" w:hAnsi="Arial"/>
                <w:b w:val="0"/>
                <w:color w:val="222222"/>
                <w:sz w:val="16"/>
              </w:rPr>
              <w:t>0.723</w:t>
            </w:r>
          </w:p>
        </w:tc>
        <w:tc>
          <w:tcPr>
            <w:tcW w:type="dxa" w:w="1656"/>
            <w:tcMar>
              <w:top w:w="90" w:type="dxa"/>
              <w:start w:w="95" w:type="dxa"/>
              <w:bottom w:w="90" w:type="dxa"/>
              <w:end w:w="95" w:type="dxa"/>
            </w:tcMar>
            <w:vAlign w:val="center"/>
            <w:shd w:fill="FFFFFF"/>
          </w:tcPr>
          <w:p>
            <w:pPr>
              <w:spacing w:after="20" w:before="20" w:line="240" w:lineRule="auto"/>
              <w:jc w:val="center"/>
            </w:pPr>
            <w:r>
              <w:rPr>
                <w:rFonts w:ascii="Arial" w:hAnsi="Arial"/>
                <w:b w:val="0"/>
                <w:color w:val="222222"/>
                <w:sz w:val="16"/>
              </w:rPr>
              <w:t>0.717</w:t>
            </w:r>
          </w:p>
        </w:tc>
        <w:tc>
          <w:tcPr>
            <w:tcW w:type="dxa" w:w="1656"/>
            <w:tcMar>
              <w:top w:w="90" w:type="dxa"/>
              <w:start w:w="95" w:type="dxa"/>
              <w:bottom w:w="90" w:type="dxa"/>
              <w:end w:w="95" w:type="dxa"/>
            </w:tcMar>
            <w:vAlign w:val="center"/>
            <w:shd w:fill="FFFFFF"/>
          </w:tcPr>
          <w:p>
            <w:pPr>
              <w:spacing w:after="20" w:before="20" w:line="240" w:lineRule="auto"/>
              <w:jc w:val="center"/>
            </w:pPr>
            <w:r>
              <w:rPr>
                <w:rFonts w:ascii="Arial" w:hAnsi="Arial"/>
                <w:b w:val="0"/>
                <w:color w:val="222222"/>
                <w:sz w:val="16"/>
              </w:rPr>
              <w:t>0.720</w:t>
            </w:r>
          </w:p>
        </w:tc>
        <w:tc>
          <w:tcPr>
            <w:tcW w:type="dxa" w:w="1685"/>
            <w:tcMar>
              <w:top w:w="90" w:type="dxa"/>
              <w:start w:w="95" w:type="dxa"/>
              <w:bottom w:w="90" w:type="dxa"/>
              <w:end w:w="95" w:type="dxa"/>
            </w:tcMar>
            <w:vAlign w:val="center"/>
            <w:shd w:fill="FFFFFF"/>
          </w:tcPr>
          <w:p>
            <w:pPr>
              <w:spacing w:after="20" w:before="20" w:line="240" w:lineRule="auto"/>
              <w:jc w:val="center"/>
            </w:pPr>
            <w:r>
              <w:rPr>
                <w:rFonts w:ascii="Arial" w:hAnsi="Arial"/>
                <w:b w:val="0"/>
                <w:color w:val="222222"/>
                <w:sz w:val="16"/>
              </w:rPr>
              <w:t>138</w:t>
            </w:r>
          </w:p>
        </w:tc>
      </w:tr>
      <w:tr>
        <w:trPr>
          <w:cantSplit/>
          <w:cantSplit/>
        </w:trPr>
        <w:tc>
          <w:tcPr>
            <w:tcW w:type="dxa" w:w="2520"/>
            <w:tcMar>
              <w:top w:w="90" w:type="dxa"/>
              <w:start w:w="95" w:type="dxa"/>
              <w:bottom w:w="90" w:type="dxa"/>
              <w:end w:w="95" w:type="dxa"/>
            </w:tcMar>
            <w:vAlign w:val="center"/>
            <w:shd w:fill="EAF0F6"/>
          </w:tcPr>
          <w:p>
            <w:pPr>
              <w:spacing w:after="20" w:before="20" w:line="240" w:lineRule="auto"/>
            </w:pPr>
            <w:r>
              <w:rPr>
                <w:rFonts w:ascii="Arial" w:hAnsi="Arial"/>
                <w:b w:val="0"/>
                <w:color w:val="222222"/>
                <w:sz w:val="16"/>
              </w:rPr>
              <w:t>Middle</w:t>
            </w:r>
          </w:p>
        </w:tc>
        <w:tc>
          <w:tcPr>
            <w:tcW w:type="dxa" w:w="1656"/>
            <w:tcMar>
              <w:top w:w="90" w:type="dxa"/>
              <w:start w:w="95" w:type="dxa"/>
              <w:bottom w:w="90" w:type="dxa"/>
              <w:end w:w="95" w:type="dxa"/>
            </w:tcMar>
            <w:vAlign w:val="center"/>
            <w:shd w:fill="EAF0F6"/>
          </w:tcPr>
          <w:p>
            <w:pPr>
              <w:spacing w:after="20" w:before="20" w:line="240" w:lineRule="auto"/>
              <w:jc w:val="center"/>
            </w:pPr>
            <w:r>
              <w:rPr>
                <w:rFonts w:ascii="Arial" w:hAnsi="Arial"/>
                <w:b w:val="0"/>
                <w:color w:val="222222"/>
                <w:sz w:val="16"/>
              </w:rPr>
              <w:t>0.846</w:t>
            </w:r>
          </w:p>
        </w:tc>
        <w:tc>
          <w:tcPr>
            <w:tcW w:type="dxa" w:w="1656"/>
            <w:tcMar>
              <w:top w:w="90" w:type="dxa"/>
              <w:start w:w="95" w:type="dxa"/>
              <w:bottom w:w="90" w:type="dxa"/>
              <w:end w:w="95" w:type="dxa"/>
            </w:tcMar>
            <w:vAlign w:val="center"/>
            <w:shd w:fill="EAF0F6"/>
          </w:tcPr>
          <w:p>
            <w:pPr>
              <w:spacing w:after="20" w:before="20" w:line="240" w:lineRule="auto"/>
              <w:jc w:val="center"/>
            </w:pPr>
            <w:r>
              <w:rPr>
                <w:rFonts w:ascii="Arial" w:hAnsi="Arial"/>
                <w:b w:val="0"/>
                <w:color w:val="222222"/>
                <w:sz w:val="16"/>
              </w:rPr>
              <w:t>0.877</w:t>
            </w:r>
          </w:p>
        </w:tc>
        <w:tc>
          <w:tcPr>
            <w:tcW w:type="dxa" w:w="1656"/>
            <w:tcMar>
              <w:top w:w="90" w:type="dxa"/>
              <w:start w:w="95" w:type="dxa"/>
              <w:bottom w:w="90" w:type="dxa"/>
              <w:end w:w="95" w:type="dxa"/>
            </w:tcMar>
            <w:vAlign w:val="center"/>
            <w:shd w:fill="EAF0F6"/>
          </w:tcPr>
          <w:p>
            <w:pPr>
              <w:spacing w:after="20" w:before="20" w:line="240" w:lineRule="auto"/>
              <w:jc w:val="center"/>
            </w:pPr>
            <w:r>
              <w:rPr>
                <w:rFonts w:ascii="Arial" w:hAnsi="Arial"/>
                <w:b w:val="0"/>
                <w:color w:val="222222"/>
                <w:sz w:val="16"/>
              </w:rPr>
              <w:t>0.861</w:t>
            </w:r>
          </w:p>
        </w:tc>
        <w:tc>
          <w:tcPr>
            <w:tcW w:type="dxa" w:w="1685"/>
            <w:tcMar>
              <w:top w:w="90" w:type="dxa"/>
              <w:start w:w="95" w:type="dxa"/>
              <w:bottom w:w="90" w:type="dxa"/>
              <w:end w:w="95" w:type="dxa"/>
            </w:tcMar>
            <w:vAlign w:val="center"/>
            <w:shd w:fill="EAF0F6"/>
          </w:tcPr>
          <w:p>
            <w:pPr>
              <w:spacing w:after="20" w:before="20" w:line="240" w:lineRule="auto"/>
              <w:jc w:val="center"/>
            </w:pPr>
            <w:r>
              <w:rPr>
                <w:rFonts w:ascii="Arial" w:hAnsi="Arial"/>
                <w:b w:val="0"/>
                <w:color w:val="222222"/>
                <w:sz w:val="16"/>
              </w:rPr>
              <w:t>138</w:t>
            </w:r>
          </w:p>
        </w:tc>
      </w:tr>
      <w:tr>
        <w:trPr>
          <w:cantSplit/>
          <w:cantSplit/>
        </w:trPr>
        <w:tc>
          <w:tcPr>
            <w:tcW w:type="dxa" w:w="2520"/>
            <w:tcMar>
              <w:top w:w="90" w:type="dxa"/>
              <w:start w:w="95" w:type="dxa"/>
              <w:bottom w:w="90" w:type="dxa"/>
              <w:end w:w="95" w:type="dxa"/>
            </w:tcMar>
            <w:vAlign w:val="center"/>
            <w:shd w:fill="FFFFFF"/>
          </w:tcPr>
          <w:p>
            <w:pPr>
              <w:spacing w:after="20" w:before="20" w:line="240" w:lineRule="auto"/>
            </w:pPr>
            <w:r>
              <w:rPr>
                <w:rFonts w:ascii="Arial" w:hAnsi="Arial"/>
                <w:b w:val="0"/>
                <w:color w:val="222222"/>
                <w:sz w:val="16"/>
              </w:rPr>
              <w:t>Late</w:t>
            </w:r>
          </w:p>
        </w:tc>
        <w:tc>
          <w:tcPr>
            <w:tcW w:type="dxa" w:w="1656"/>
            <w:tcMar>
              <w:top w:w="90" w:type="dxa"/>
              <w:start w:w="95" w:type="dxa"/>
              <w:bottom w:w="90" w:type="dxa"/>
              <w:end w:w="95" w:type="dxa"/>
            </w:tcMar>
            <w:vAlign w:val="center"/>
            <w:shd w:fill="FFFFFF"/>
          </w:tcPr>
          <w:p>
            <w:pPr>
              <w:spacing w:after="20" w:before="20" w:line="240" w:lineRule="auto"/>
              <w:jc w:val="center"/>
            </w:pPr>
            <w:r>
              <w:rPr>
                <w:rFonts w:ascii="Arial" w:hAnsi="Arial"/>
                <w:b w:val="0"/>
                <w:color w:val="222222"/>
                <w:sz w:val="16"/>
              </w:rPr>
              <w:t>0.687</w:t>
            </w:r>
          </w:p>
        </w:tc>
        <w:tc>
          <w:tcPr>
            <w:tcW w:type="dxa" w:w="1656"/>
            <w:tcMar>
              <w:top w:w="90" w:type="dxa"/>
              <w:start w:w="95" w:type="dxa"/>
              <w:bottom w:w="90" w:type="dxa"/>
              <w:end w:w="95" w:type="dxa"/>
            </w:tcMar>
            <w:vAlign w:val="center"/>
            <w:shd w:fill="FFFFFF"/>
          </w:tcPr>
          <w:p>
            <w:pPr>
              <w:spacing w:after="20" w:before="20" w:line="240" w:lineRule="auto"/>
              <w:jc w:val="center"/>
            </w:pPr>
            <w:r>
              <w:rPr>
                <w:rFonts w:ascii="Arial" w:hAnsi="Arial"/>
                <w:b w:val="0"/>
                <w:color w:val="222222"/>
                <w:sz w:val="16"/>
              </w:rPr>
              <w:t>0.667</w:t>
            </w:r>
          </w:p>
        </w:tc>
        <w:tc>
          <w:tcPr>
            <w:tcW w:type="dxa" w:w="1656"/>
            <w:tcMar>
              <w:top w:w="90" w:type="dxa"/>
              <w:start w:w="95" w:type="dxa"/>
              <w:bottom w:w="90" w:type="dxa"/>
              <w:end w:w="95" w:type="dxa"/>
            </w:tcMar>
            <w:vAlign w:val="center"/>
            <w:shd w:fill="FFFFFF"/>
          </w:tcPr>
          <w:p>
            <w:pPr>
              <w:spacing w:after="20" w:before="20" w:line="240" w:lineRule="auto"/>
              <w:jc w:val="center"/>
            </w:pPr>
            <w:r>
              <w:rPr>
                <w:rFonts w:ascii="Arial" w:hAnsi="Arial"/>
                <w:b w:val="0"/>
                <w:color w:val="222222"/>
                <w:sz w:val="16"/>
              </w:rPr>
              <w:t>0.676</w:t>
            </w:r>
          </w:p>
        </w:tc>
        <w:tc>
          <w:tcPr>
            <w:tcW w:type="dxa" w:w="1685"/>
            <w:tcMar>
              <w:top w:w="90" w:type="dxa"/>
              <w:start w:w="95" w:type="dxa"/>
              <w:bottom w:w="90" w:type="dxa"/>
              <w:end w:w="95" w:type="dxa"/>
            </w:tcMar>
            <w:vAlign w:val="center"/>
            <w:shd w:fill="FFFFFF"/>
          </w:tcPr>
          <w:p>
            <w:pPr>
              <w:spacing w:after="20" w:before="20" w:line="240" w:lineRule="auto"/>
              <w:jc w:val="center"/>
            </w:pPr>
            <w:r>
              <w:rPr>
                <w:rFonts w:ascii="Arial" w:hAnsi="Arial"/>
                <w:b w:val="0"/>
                <w:color w:val="222222"/>
                <w:sz w:val="16"/>
              </w:rPr>
              <w:t>138</w:t>
            </w:r>
          </w:p>
        </w:tc>
      </w:tr>
      <w:tr>
        <w:trPr>
          <w:cantSplit/>
          <w:cantSplit/>
        </w:trPr>
        <w:tc>
          <w:tcPr>
            <w:tcW w:type="dxa" w:w="2520"/>
            <w:tcMar>
              <w:top w:w="90" w:type="dxa"/>
              <w:start w:w="95" w:type="dxa"/>
              <w:bottom w:w="90" w:type="dxa"/>
              <w:end w:w="95" w:type="dxa"/>
            </w:tcMar>
            <w:vAlign w:val="center"/>
            <w:shd w:fill="EAF0F6"/>
          </w:tcPr>
          <w:p>
            <w:pPr>
              <w:spacing w:after="20" w:before="20" w:line="240" w:lineRule="auto"/>
            </w:pPr>
            <w:r>
              <w:rPr>
                <w:rFonts w:ascii="Arial" w:hAnsi="Arial"/>
                <w:b w:val="0"/>
                <w:color w:val="222222"/>
                <w:sz w:val="16"/>
              </w:rPr>
              <w:t>Macro (pooled counts)</w:t>
            </w:r>
          </w:p>
        </w:tc>
        <w:tc>
          <w:tcPr>
            <w:tcW w:type="dxa" w:w="1656"/>
            <w:tcMar>
              <w:top w:w="90" w:type="dxa"/>
              <w:start w:w="95" w:type="dxa"/>
              <w:bottom w:w="90" w:type="dxa"/>
              <w:end w:w="95" w:type="dxa"/>
            </w:tcMar>
            <w:vAlign w:val="center"/>
            <w:shd w:fill="EAF0F6"/>
          </w:tcPr>
          <w:p>
            <w:pPr>
              <w:spacing w:after="20" w:before="20" w:line="240" w:lineRule="auto"/>
              <w:jc w:val="center"/>
            </w:pPr>
            <w:r>
              <w:rPr>
                <w:rFonts w:ascii="Arial" w:hAnsi="Arial"/>
                <w:b w:val="0"/>
                <w:color w:val="222222"/>
                <w:sz w:val="16"/>
              </w:rPr>
              <w:t>0.752</w:t>
            </w:r>
          </w:p>
        </w:tc>
        <w:tc>
          <w:tcPr>
            <w:tcW w:type="dxa" w:w="1656"/>
            <w:tcMar>
              <w:top w:w="90" w:type="dxa"/>
              <w:start w:w="95" w:type="dxa"/>
              <w:bottom w:w="90" w:type="dxa"/>
              <w:end w:w="95" w:type="dxa"/>
            </w:tcMar>
            <w:vAlign w:val="center"/>
            <w:shd w:fill="EAF0F6"/>
          </w:tcPr>
          <w:p>
            <w:pPr>
              <w:spacing w:after="20" w:before="20" w:line="240" w:lineRule="auto"/>
              <w:jc w:val="center"/>
            </w:pPr>
            <w:r>
              <w:rPr>
                <w:rFonts w:ascii="Arial" w:hAnsi="Arial"/>
                <w:b w:val="0"/>
                <w:color w:val="222222"/>
                <w:sz w:val="16"/>
              </w:rPr>
              <w:t>0.754</w:t>
            </w:r>
          </w:p>
        </w:tc>
        <w:tc>
          <w:tcPr>
            <w:tcW w:type="dxa" w:w="1656"/>
            <w:tcMar>
              <w:top w:w="90" w:type="dxa"/>
              <w:start w:w="95" w:type="dxa"/>
              <w:bottom w:w="90" w:type="dxa"/>
              <w:end w:w="95" w:type="dxa"/>
            </w:tcMar>
            <w:vAlign w:val="center"/>
            <w:shd w:fill="EAF0F6"/>
          </w:tcPr>
          <w:p>
            <w:pPr>
              <w:spacing w:after="20" w:before="20" w:line="240" w:lineRule="auto"/>
              <w:jc w:val="center"/>
            </w:pPr>
            <w:r>
              <w:rPr>
                <w:rFonts w:ascii="Arial" w:hAnsi="Arial"/>
                <w:b w:val="0"/>
                <w:color w:val="222222"/>
                <w:sz w:val="16"/>
              </w:rPr>
              <w:t>0.752</w:t>
            </w:r>
          </w:p>
        </w:tc>
        <w:tc>
          <w:tcPr>
            <w:tcW w:type="dxa" w:w="1685"/>
            <w:tcMar>
              <w:top w:w="90" w:type="dxa"/>
              <w:start w:w="95" w:type="dxa"/>
              <w:bottom w:w="90" w:type="dxa"/>
              <w:end w:w="95" w:type="dxa"/>
            </w:tcMar>
            <w:vAlign w:val="center"/>
            <w:shd w:fill="EAF0F6"/>
          </w:tcPr>
          <w:p>
            <w:pPr>
              <w:spacing w:after="20" w:before="20" w:line="240" w:lineRule="auto"/>
              <w:jc w:val="center"/>
            </w:pPr>
            <w:r>
              <w:rPr>
                <w:rFonts w:ascii="Arial" w:hAnsi="Arial"/>
                <w:b w:val="0"/>
                <w:color w:val="222222"/>
                <w:sz w:val="16"/>
              </w:rPr>
              <w:t>414</w:t>
            </w:r>
          </w:p>
        </w:tc>
      </w:tr>
    </w:tbl>
    <w:p>
      <w:pPr>
        <w:pageBreakBefore w:val="0"/>
        <w:spacing w:after="160" w:before="0"/>
        <w:jc w:val="both"/>
      </w:pPr>
    </w:p>
    <w:p>
      <w:pPr>
        <w:pStyle w:val="Heading2"/>
        <w:keepNext/>
        <w:pageBreakBefore w:val="0"/>
        <w:spacing w:before="200" w:after="120"/>
      </w:pPr>
      <w:r>
        <w:rPr>
          <w:rFonts w:ascii="Arial" w:hAnsi="Arial"/>
          <w:b/>
          <w:color w:val="1F3B63"/>
          <w:sz w:val="25"/>
        </w:rPr>
        <w:t>6.3  Confusion matrix</w:t>
      </w:r>
    </w:p>
    <w:tbl>
      <w:tblPr>
        <w:tblStyle w:val="TableGrid"/>
        <w:tblW w:type="auto" w:w="0"/>
        <w:tblLook w:firstColumn="1" w:firstRow="1" w:lastColumn="0" w:lastRow="0" w:noHBand="0" w:noVBand="1" w:val="04A0"/>
        <w:tblLayout w:type="fixed"/>
        <w:tblBorders>
          <w:top w:val="single" w:sz="6" w:space="0" w:color="C9D2DC"/>
          <w:left w:val="single" w:sz="6" w:space="0" w:color="C9D2DC"/>
          <w:bottom w:val="single" w:sz="6" w:space="0" w:color="C9D2DC"/>
          <w:right w:val="single" w:sz="6" w:space="0" w:color="C9D2DC"/>
          <w:insideH w:val="single" w:sz="6" w:space="0" w:color="C9D2DC"/>
          <w:insideV w:val="single" w:sz="6" w:space="0" w:color="C9D2DC"/>
        </w:tblBorders>
      </w:tblPr>
      <w:tblGrid>
        <w:gridCol w:w="9173"/>
      </w:tblGrid>
      <w:tr>
        <w:trPr>
          <w:cantSplit/>
        </w:trPr>
        <w:tc>
          <w:tcPr>
            <w:tcW w:type="dxa" w:w="9173"/>
            <w:shd w:val="clear" w:color="auto" w:fill="FAFBFC"/>
            <w:tcMar>
              <w:top w:w="520" w:type="dxa"/>
              <w:start w:w="130" w:type="dxa"/>
              <w:bottom w:w="520" w:type="dxa"/>
              <w:end w:w="130" w:type="dxa"/>
            </w:tcMar>
          </w:tcPr>
          <w:p>
            <w:pPr>
              <w:spacing w:after="60" w:before="60"/>
              <w:jc w:val="center"/>
            </w:pPr>
            <w:r>
              <w:drawing>
                <wp:inline xmlns:a="http://schemas.openxmlformats.org/drawingml/2006/main" xmlns:pic="http://schemas.openxmlformats.org/drawingml/2006/picture">
                  <wp:extent cx="5486400" cy="2987040"/>
                  <wp:docPr id="4" name="Picture 4"/>
                  <wp:cNvGraphicFramePr>
                    <a:graphicFrameLocks noChangeAspect="1"/>
                  </wp:cNvGraphicFramePr>
                  <a:graphic>
                    <a:graphicData uri="http://schemas.openxmlformats.org/drawingml/2006/picture">
                      <pic:pic>
                        <pic:nvPicPr>
                          <pic:cNvPr id="0" name="ROC_CONFUSION_F31_20261018.png"/>
                          <pic:cNvPicPr/>
                        </pic:nvPicPr>
                        <pic:blipFill>
                          <a:blip r:embed="rId14"/>
                          <a:stretch>
                            <a:fillRect/>
                          </a:stretch>
                        </pic:blipFill>
                        <pic:spPr>
                          <a:xfrm>
                            <a:off x="0" y="0"/>
                            <a:ext cx="5486400" cy="2987040"/>
                          </a:xfrm>
                          <a:prstGeom prst="rect"/>
                        </pic:spPr>
                      </pic:pic>
                    </a:graphicData>
                  </a:graphic>
                </wp:inline>
              </w:drawing>
            </w:r>
          </w:p>
        </w:tc>
      </w:tr>
    </w:tbl>
    <w:p>
      <w:pPr>
        <w:widowControl/>
        <w:spacing w:before="60" w:after="100"/>
      </w:pPr>
      <w:r>
        <w:rPr>
          <w:rFonts w:ascii="Arial" w:hAnsi="Arial"/>
          <w:color w:val="222222"/>
          <w:sz w:val="18"/>
        </w:rPr>
        <w:t>Across participants, the global nested selector achieved accuracy 0.755±0.088, macro precision 0.810±0.074, macro recall/balanced accuracy 0.755±0.088, macro-F1 0.740±0.099 (95% participant-bootstrap CI 0.689–0.787), ROC-AUC OvR 0.941±0.038 (CI 0.921–0.959), average precision OvR 0.906±0.064 (CI 0.873–0.936), MCC 0.665 and Cohen’s κ 0.632. Among the fixed model-family selectors, logistic regression had the largest point macro-F1, 0.751±0.108 (CI 0.696–0.804), and ROC-AUC 0.945±0.046 (CI 0.923–0.967). Its interval overlaps the nested selector and other strong linear families; no superiority test was performed. The baseline predicts the first class under equal priors and achieves macro-F1 0.167 and AUC 0.500.</w:t>
      </w:r>
    </w:p>
    <w:p>
      <w:pPr>
        <w:pageBreakBefore w:val="0"/>
        <w:widowControl/>
        <w:spacing w:after="160"/>
        <w:jc w:val="center"/>
      </w:pPr>
      <w:r>
        <w:t>Figure 4. Family-level macro one-vs-rest ROC curves and the global nested selector confusion matrix for elapsed-time thirds, not fatigue.</w:t>
      </w:r>
    </w:p>
    <w:p>
      <w:pPr>
        <w:widowControl/>
        <w:spacing w:before="60" w:after="100"/>
      </w:pPr>
      <w:r>
        <w:rPr>
          <w:rFonts w:ascii="Arial" w:hAnsi="Arial"/>
          <w:color w:val="222222"/>
          <w:sz w:val="18"/>
        </w:rPr>
        <w:t>Pooled nested out-of-fold counts were 414 segments, with 138 support per class. The confusion matrix (rows observed, columns predicted) was [[99,6,33],[8,121,9],[30,16,92]]. Pooled class F1 was 0.720 early, 0.861 middle and 0.676 late; the corresponding pooled precision was 0.723, 0.846 and 0.687 and recall was 0.717, 0.877 and 0.667. These pooled values are computed from counts and differ from participant-averaged metrics because F1 is nonlinear. Errors between early and late positions (33 early→late; 30 late→early) were more frequent than adjacent-bin errors.</w:t>
      </w:r>
    </w:p>
    <w:p>
      <w:pPr>
        <w:pStyle w:val="Heading2"/>
        <w:keepNext/>
        <w:pageBreakBefore w:val="0"/>
        <w:widowControl/>
        <w:spacing w:before="200" w:after="120"/>
      </w:pPr>
      <w:r>
        <w:t>6.4  Leg-by-series proxy-performance summary</w:t>
      </w:r>
    </w:p>
    <w:tbl>
      <w:tblPr>
        <w:tblStyle w:val="TableGrid"/>
        <w:tblW w:type="auto" w:w="0"/>
        <w:tblLook w:firstColumn="1" w:firstRow="1" w:lastColumn="0" w:lastRow="0" w:noHBand="0" w:noVBand="1" w:val="04A0"/>
        <w:tblLayout w:type="fixed"/>
        <w:tblBorders>
          <w:top w:val="single" w:sz="6" w:space="0" w:color="C9D2DC"/>
          <w:left w:val="single" w:sz="6" w:space="0" w:color="C9D2DC"/>
          <w:bottom w:val="single" w:sz="6" w:space="0" w:color="C9D2DC"/>
          <w:right w:val="single" w:sz="6" w:space="0" w:color="C9D2DC"/>
          <w:insideH w:val="single" w:sz="6" w:space="0" w:color="C9D2DC"/>
          <w:insideV w:val="single" w:sz="6" w:space="0" w:color="C9D2DC"/>
        </w:tblBorders>
      </w:tblPr>
      <w:tblGrid>
        <w:gridCol w:w="9173"/>
      </w:tblGrid>
      <w:tr>
        <w:trPr>
          <w:cantSplit/>
        </w:trPr>
        <w:tc>
          <w:tcPr>
            <w:tcW w:type="dxa" w:w="9173"/>
            <w:shd w:val="clear" w:color="auto" w:fill="FAFBFC"/>
            <w:tcMar>
              <w:top w:w="520" w:type="dxa"/>
              <w:start w:w="130" w:type="dxa"/>
              <w:bottom w:w="520" w:type="dxa"/>
              <w:end w:w="130" w:type="dxa"/>
            </w:tcMar>
          </w:tcPr>
          <w:p>
            <w:pPr>
              <w:spacing w:after="60" w:before="60"/>
              <w:jc w:val="center"/>
            </w:pPr>
            <w:r>
              <w:drawing>
                <wp:inline xmlns:a="http://schemas.openxmlformats.org/drawingml/2006/main" xmlns:pic="http://schemas.openxmlformats.org/drawingml/2006/picture">
                  <wp:extent cx="5532120" cy="2420302"/>
                  <wp:docPr id="6" name="Picture 6"/>
                  <wp:cNvGraphicFramePr>
                    <a:graphicFrameLocks noChangeAspect="1"/>
                  </wp:cNvGraphicFramePr>
                  <a:graphic>
                    <a:graphicData uri="http://schemas.openxmlformats.org/drawingml/2006/picture">
                      <pic:pic>
                        <pic:nvPicPr>
                          <pic:cNvPr id="0" name="HEATMAP_METRICAS_NESTED_POR_PIERNA_Y_SERIE.png"/>
                          <pic:cNvPicPr/>
                        </pic:nvPicPr>
                        <pic:blipFill>
                          <a:blip r:embed="rId16"/>
                          <a:stretch>
                            <a:fillRect/>
                          </a:stretch>
                        </pic:blipFill>
                        <pic:spPr>
                          <a:xfrm>
                            <a:off x="0" y="0"/>
                            <a:ext cx="5532120" cy="2420302"/>
                          </a:xfrm>
                          <a:prstGeom prst="rect"/>
                        </pic:spPr>
                      </pic:pic>
                    </a:graphicData>
                  </a:graphic>
                </wp:inline>
              </w:drawing>
            </w:r>
          </w:p>
        </w:tc>
      </w:tr>
    </w:tbl>
    <w:p>
      <w:pPr>
        <w:pageBreakBefore w:val="0"/>
        <w:widowControl/>
        <w:spacing w:after="160"/>
        <w:jc w:val="center"/>
      </w:pPr>
      <w:r>
        <w:t>Figure 5. Nested-selector performance by recorded leg and series; coverage differs across sides and R1–R5.</w:t>
      </w:r>
    </w:p>
    <w:p>
      <w:pPr>
        <w:pageBreakBefore w:val="0"/>
        <w:widowControl/>
        <w:spacing w:after="40"/>
      </w:pPr>
      <w:r>
        <w:t>The heatmap summarizes the post hoc leg-by-series temporal-proxy scores. Coverage is 14 participants per left-leg series and 15, 14, 13, 13 and 13 for right R1–R5. The paired R1–R5 contrasts use 14, 13, 12, 12 and 12 participants. Intervals are wide and no side or series was used to select a model; these estimates do not demonstrate fatigue asymmetry.</w:t>
      </w:r>
    </w:p>
    <w:p>
      <w:pPr>
        <w:pageBreakBefore w:val="0"/>
        <w:spacing w:after="40"/>
      </w:pPr>
    </w:p>
    <w:p>
      <w:pPr>
        <w:pageBreakBefore w:val="0"/>
        <w:spacing w:after="40"/>
      </w:pPr>
    </w:p>
    <w:p>
      <w:pPr>
        <w:pageBreakBefore w:val="0"/>
        <w:spacing w:after="120" w:before="0"/>
        <w:jc w:val="both"/>
      </w:pPr>
    </w:p>
    <w:p>
      <w:pPr>
        <w:pStyle w:val="Heading2"/>
        <w:keepNext/>
        <w:pageBreakBefore w:val="0"/>
        <w:widowControl/>
        <w:spacing w:before="200" w:after="120"/>
      </w:pPr>
      <w:r>
        <w:t>6.5  Bilateral and series-level comparison</w:t>
      </w:r>
    </w:p>
    <w:p>
      <w:pPr>
        <w:pageBreakBefore w:val="0"/>
        <w:widowControl/>
        <w:spacing w:after="40"/>
      </w:pPr>
      <w:r>
        <w:t>The post hoc side analysis included 14 left-leg participants (70 files, 210 segments) and 15 right-leg participants (68 files, 204 segments); 14 participants were paired across sides. Nested-selector macro-F1 was 0.776 (95% CI 0.675–0.874) left and 0.686 (0.611–0.762) right. Paired left-minus-right macro-F1 was +0.092 (CI −0.052 to +0.238); paired differences for balanced accuracy, AUC, AP and MCC also included zero. Across series, left-side F1 was 0.754, 0.730, 0.651, 0.750 and 0.841 for R1–R5. Right-side F1 was 0.567, 0.655, 0.568, 0.585 and 0.739; coverage ranged from 15 participants in right R1 to 13 in R3–R5. Paired per-series comparisons used 14, 13, 12, 12 and 12 participants, respectively, and are exploratory. The heatmap and tables describe temporal-position performance only.</w:t>
      </w:r>
    </w:p>
    <w:p>
      <w:pPr>
        <w:pageBreakBefore w:val="0"/>
        <w:spacing w:after="40"/>
      </w:pPr>
    </w:p>
    <w:p>
      <w:pPr>
        <w:pageBreakBefore w:val="0"/>
        <w:spacing w:after="40"/>
      </w:pPr>
    </w:p>
    <w:p>
      <w:pPr>
        <w:pageBreakBefore w:val="0"/>
        <w:spacing w:after="120" w:before="0"/>
        <w:jc w:val="both"/>
      </w:pPr>
    </w:p>
    <w:p>
      <w:pPr>
        <w:pStyle w:val="Heading1"/>
        <w:keepNext/>
        <w:pageBreakBefore w:val="0"/>
        <w:spacing w:before="280" w:after="120"/>
      </w:pPr>
      <w:r>
        <w:rPr>
          <w:rFonts w:ascii="Arial" w:hAnsi="Arial"/>
          <w:b/>
          <w:color w:val="1F3B63"/>
          <w:sz w:val="30"/>
        </w:rPr>
        <w:t>7.  Discussion</w:t>
      </w:r>
    </w:p>
    <w:p>
      <w:pPr>
        <w:pStyle w:val="Heading2"/>
        <w:keepNext/>
        <w:pageBreakBefore w:val="0"/>
        <w:spacing w:before="200" w:after="120"/>
      </w:pPr>
      <w:r>
        <w:rPr>
          <w:rFonts w:ascii="Arial" w:hAnsi="Arial"/>
          <w:b/>
          <w:color w:val="1F3B63"/>
          <w:sz w:val="25"/>
        </w:rPr>
        <w:t>7.1  Interpretation</w:t>
      </w:r>
    </w:p>
    <w:p>
      <w:pPr>
        <w:pageBreakBefore w:val="0"/>
        <w:widowControl/>
        <w:spacing w:after="40"/>
      </w:pPr>
      <w:r>
        <w:t>The principal result is that a grouped selection procedure can classify elapsed position above an equal-prior baseline in this local corpus. It does not establish that the model detects peripheral or central fatigue. The class labels are defined by time, and the signal may reflect contraction density, pauses, changing effort, movement, file duration or acquisition drift. The high participant-averaged ROC-AUC and lower macro-F1 reflect distinct aspects of ranking and decision errors and do not convert the target into fatigue. A current nested selector that changes between logistic regression and LDA also cannot be called one frozen model for deployment.</w:t>
      </w:r>
    </w:p>
    <w:p>
      <w:pPr>
        <w:pageBreakBefore w:val="0"/>
        <w:spacing w:after="40"/>
      </w:pPr>
    </w:p>
    <w:p>
      <w:pPr>
        <w:pageBreakBefore w:val="0"/>
        <w:spacing w:after="40"/>
      </w:pPr>
    </w:p>
    <w:p>
      <w:pPr>
        <w:pageBreakBefore w:val="0"/>
        <w:spacing w:after="40"/>
      </w:pPr>
    </w:p>
    <w:p>
      <w:pPr>
        <w:pageBreakBefore w:val="0"/>
        <w:spacing w:after="40"/>
      </w:pPr>
    </w:p>
    <w:p>
      <w:pPr>
        <w:pageBreakBefore w:val="0"/>
        <w:spacing w:after="120" w:before="0"/>
        <w:jc w:val="both"/>
      </w:pPr>
    </w:p>
    <w:p>
      <w:pPr>
        <w:pStyle w:val="Heading2"/>
        <w:keepNext/>
        <w:pageBreakBefore w:val="0"/>
        <w:spacing w:before="200" w:after="120"/>
      </w:pPr>
      <w:r>
        <w:rPr>
          <w:rFonts w:ascii="Arial" w:hAnsi="Arial"/>
          <w:b/>
          <w:color w:val="1F3B63"/>
          <w:sz w:val="25"/>
        </w:rPr>
        <w:t>7.2  Comparison with the literature</w:t>
      </w:r>
    </w:p>
    <w:p>
      <w:pPr>
        <w:pageBreakBefore w:val="0"/>
        <w:widowControl/>
        <w:spacing w:after="40"/>
      </w:pPr>
      <w:r>
        <w:t>The direction of the local MDF/MNF changes is compatible with literature on some sustained contractions under approximately constant force [31], [32], but this dataset has no verified force trace or aligned contraction phase. The low-frequency trend estimates, nonlinear trajectories, final RMS decline and spectral rebounds are consistent with multiple possible causes. Dynamic-fatigue studies comparing Fourier and wavelet indices have reported variable validity and reliability [34]; this supports examining time-frequency behavior but does not make a wavelet or a negative slope a physiological reference. Similarly, AI studies use Borg ratings, power loss, anaerobic thresholds, sensors or repeated-session calibration [5]–[7], [11], [13], [16], [17], [19]–[27], [33]. Their definitions and participant splits differ from the local time-third task.</w:t>
      </w:r>
    </w:p>
    <w:p>
      <w:pPr>
        <w:pageBreakBefore w:val="0"/>
        <w:spacing w:after="40"/>
      </w:pPr>
    </w:p>
    <w:p>
      <w:pPr>
        <w:pageBreakBefore w:val="0"/>
        <w:spacing w:after="40"/>
      </w:pPr>
    </w:p>
    <w:p>
      <w:pPr>
        <w:pageBreakBefore w:val="0"/>
        <w:spacing w:after="40"/>
      </w:pPr>
    </w:p>
    <w:p>
      <w:pPr>
        <w:pageBreakBefore w:val="0"/>
        <w:spacing w:after="120" w:before="0"/>
        <w:jc w:val="both"/>
      </w:pPr>
    </w:p>
    <w:p>
      <w:pPr>
        <w:pStyle w:val="Heading2"/>
        <w:keepNext/>
        <w:pageBreakBefore w:val="0"/>
        <w:spacing w:before="200" w:after="120"/>
      </w:pPr>
      <w:r>
        <w:rPr>
          <w:rFonts w:ascii="Arial" w:hAnsi="Arial"/>
          <w:b/>
          <w:color w:val="1F3B63"/>
          <w:sz w:val="25"/>
        </w:rPr>
        <w:t>7.3  Failure analysis</w:t>
      </w:r>
    </w:p>
    <w:p>
      <w:pPr>
        <w:pageBreakBefore w:val="0"/>
        <w:widowControl/>
        <w:spacing w:after="40"/>
      </w:pPr>
      <w:r>
        <w:t>The errors most often confuse the first and final time thirds, whereas the transition third is more frequently correct in the pooled matrix. Without per-repetition labels, force and task phase, no causal explanation can be assigned to individual errors. The ROC plot and confusion matrix quantify only temporal-third discrimination. They are not fatigue false-positive/negative counts, sensitivity or specificity.</w:t>
      </w:r>
    </w:p>
    <w:p>
      <w:pPr>
        <w:pageBreakBefore w:val="0"/>
        <w:spacing w:after="40"/>
      </w:pPr>
    </w:p>
    <w:p>
      <w:pPr>
        <w:pageBreakBefore w:val="0"/>
        <w:spacing w:after="40"/>
      </w:pPr>
    </w:p>
    <w:p>
      <w:pPr>
        <w:pageBreakBefore w:val="0"/>
        <w:spacing w:after="40"/>
      </w:pPr>
    </w:p>
    <w:p>
      <w:pPr>
        <w:pageBreakBefore w:val="0"/>
        <w:spacing w:after="120" w:before="0"/>
        <w:jc w:val="both"/>
      </w:pPr>
    </w:p>
    <w:p>
      <w:pPr>
        <w:pStyle w:val="Heading2"/>
        <w:keepNext/>
        <w:pageBreakBefore w:val="0"/>
        <w:spacing w:before="200" w:after="120"/>
      </w:pPr>
      <w:r>
        <w:rPr>
          <w:rFonts w:ascii="Arial" w:hAnsi="Arial"/>
          <w:b/>
          <w:color w:val="1F3B63"/>
          <w:sz w:val="25"/>
        </w:rPr>
        <w:t>7.4  Limitations</w:t>
      </w:r>
    </w:p>
    <w:p>
      <w:pPr>
        <w:pageBreakBefore w:val="0"/>
        <w:widowControl/>
        <w:spacing w:after="40"/>
      </w:pPr>
      <w:r>
        <w:t>The sample comprises 15 groups with incomplete side-series coverage. RAW/RECT/ENV mode, electrode placement, muscle identity, analog chain, ADC saturation rails, calibrated voltage, force, load, repetitions, cadence, pauses and failure time are unverified. Signal discontinuities were split rather than interpolated; QC review flags are not a substitute for a clean reference. There is no local physiological fatigue ground truth, no external validation in the current local-only scope and no interventional randomization. ROC and F1 uncertainty is substantial for a 15-participant study.</w:t>
      </w:r>
    </w:p>
    <w:p>
      <w:pPr>
        <w:pageBreakBefore w:val="0"/>
        <w:spacing w:after="40"/>
      </w:pPr>
    </w:p>
    <w:p>
      <w:pPr>
        <w:pageBreakBefore w:val="0"/>
        <w:spacing w:after="40"/>
      </w:pPr>
    </w:p>
    <w:p>
      <w:pPr>
        <w:pageBreakBefore w:val="0"/>
        <w:spacing w:after="40"/>
      </w:pPr>
    </w:p>
    <w:p>
      <w:pPr>
        <w:pageBreakBefore w:val="0"/>
        <w:spacing w:after="120" w:before="0"/>
        <w:jc w:val="both"/>
      </w:pPr>
    </w:p>
    <w:p>
      <w:pPr>
        <w:pStyle w:val="Heading2"/>
        <w:keepNext/>
        <w:pageBreakBefore w:val="0"/>
        <w:spacing w:before="200" w:after="120"/>
      </w:pPr>
      <w:r>
        <w:rPr>
          <w:rFonts w:ascii="Arial" w:hAnsi="Arial"/>
          <w:b/>
          <w:color w:val="1F3B63"/>
          <w:sz w:val="25"/>
        </w:rPr>
        <w:t>7.5  What you would do differently</w:t>
      </w:r>
    </w:p>
    <w:p>
      <w:pPr>
        <w:pageBreakBefore w:val="0"/>
        <w:widowControl/>
        <w:spacing w:after="40"/>
      </w:pPr>
      <w:r>
        <w:t>A follow-up study should document the muscle and electrode montage, acquisition chain, analog and digital filters, calibrated sampling and voltage, load, cadence, rests, and repetition-level event markers. It should synchronously record force or torque and predefine an independent fatigue criterion, then evaluate subjects with grouped splits and a frozen model/threshold. Baseline and late windows should represent comparable contraction phases. External validation may be considered only as a separately approved, prespecified future phase; it was not performed here.</w:t>
      </w:r>
    </w:p>
    <w:p>
      <w:pPr>
        <w:pageBreakBefore w:val="0"/>
        <w:spacing w:after="40"/>
      </w:pPr>
    </w:p>
    <w:p>
      <w:pPr>
        <w:pageBreakBefore w:val="0"/>
        <w:spacing w:after="40"/>
      </w:pPr>
    </w:p>
    <w:p>
      <w:pPr>
        <w:pageBreakBefore w:val="0"/>
        <w:spacing w:after="120" w:before="0"/>
        <w:jc w:val="both"/>
      </w:pPr>
    </w:p>
    <w:p>
      <w:pPr>
        <w:pStyle w:val="Heading1"/>
        <w:keepNext/>
        <w:pageBreakBefore w:val="0"/>
        <w:spacing w:before="280" w:after="120"/>
      </w:pPr>
      <w:r>
        <w:rPr>
          <w:rFonts w:ascii="Arial" w:hAnsi="Arial"/>
          <w:b/>
          <w:color w:val="1F3B63"/>
          <w:sz w:val="30"/>
        </w:rPr>
        <w:t>8.  Conclusions</w:t>
      </w:r>
    </w:p>
    <w:p>
      <w:pPr>
        <w:pageBreakBefore w:val="0"/>
        <w:widowControl/>
        <w:spacing w:after="40"/>
      </w:pPr>
      <w:r>
        <w:t>1) The QC audit covered 140 recordings and 4,256,257 samples from 15 groups. It found no structural exclusions; timestamp gaps were not interpolated and R0/R0_1 remained QC-only.</w:t>
        <w:br/>
        <w:t>2) The 325-configuration nested LOSO procedure achieved temporal-third macro-F1 0.740±0.099 and ROC-AUC OvR 0.941±0.038. Logistic regression had the best fixed-family point macro-F1 (0.751±0.108), but no superiority was established and the nested selector is not one frozen model.</w:t>
        <w:br/>
        <w:t>3) The bilateral analysis covered 14 left and 15 right participants. Paired side differences included zero, while per-series coverage was unequal; no physiological leg asymmetry is demonstrated.</w:t>
        <w:br/>
        <w:t>4) HP20 time-associated slopes had decreasing MDF/MNF and increasing median RMS on both sides, but the trajectories were non-monotonic and not anchored to force or verified fatigue events.</w:t>
        <w:br/>
        <w:t>5) The findings support only a temporal-position benchmark. No fatigue detector, fatigue threshold, onset, peak, sensitivity, specificity, external validation or fatigue FP/FN rate is claimed.</w:t>
      </w:r>
    </w:p>
    <w:p>
      <w:pPr>
        <w:pageBreakBefore w:val="0"/>
        <w:spacing w:after="40"/>
      </w:pPr>
    </w:p>
    <w:p>
      <w:pPr>
        <w:pageBreakBefore w:val="0"/>
        <w:spacing w:after="40"/>
      </w:pPr>
    </w:p>
    <w:p>
      <w:pPr>
        <w:pageBreakBefore w:val="0"/>
        <w:spacing w:after="40"/>
      </w:pPr>
    </w:p>
    <w:p>
      <w:pPr>
        <w:pageBreakBefore w:val="0"/>
        <w:spacing w:after="120" w:before="0"/>
        <w:jc w:val="both"/>
      </w:pPr>
    </w:p>
    <w:p>
      <w:pPr>
        <w:pStyle w:val="Heading1"/>
        <w:keepNext/>
        <w:pageBreakBefore w:val="0"/>
        <w:spacing w:before="280" w:after="120"/>
      </w:pPr>
      <w:r>
        <w:rPr>
          <w:rFonts w:ascii="Arial" w:hAnsi="Arial"/>
          <w:b/>
          <w:color w:val="1F3B63"/>
          <w:sz w:val="30"/>
        </w:rPr>
        <w:t>9.  Contribution of each member</w:t>
      </w:r>
    </w:p>
    <w:p>
      <w:pPr>
        <w:spacing w:before="140" w:after="60"/>
      </w:pPr>
      <w:r>
        <w:rPr>
          <w:rFonts w:ascii="Arial" w:hAnsi="Arial"/>
          <w:b/>
          <w:color w:val="1F3B63"/>
          <w:sz w:val="18"/>
        </w:rPr>
        <w:t>TABLE X. CONTRIBUTIONS REQUIRE AUTHOR CONFIRMATION</w:t>
      </w:r>
    </w:p>
    <w:tbl>
      <w:tblPr>
        <w:tblStyle w:val="TableGrid"/>
        <w:tblW w:type="auto" w:w="0"/>
        <w:tblLook w:firstColumn="1" w:firstRow="1" w:lastColumn="0" w:lastRow="0" w:noHBand="0" w:noVBand="1" w:val="04A0"/>
        <w:jc w:val="center"/>
        <w:tblBorders>
          <w:top w:val="single" w:sz="4" w:space="0" w:color="9AA7B5"/>
          <w:left w:val="single" w:sz="4" w:space="0" w:color="9AA7B5"/>
          <w:bottom w:val="single" w:sz="4" w:space="0" w:color="9AA7B5"/>
          <w:right w:val="single" w:sz="4" w:space="0" w:color="9AA7B5"/>
          <w:insideH w:val="single" w:sz="4" w:space="0" w:color="9AA7B5"/>
          <w:insideV w:val="single" w:sz="4" w:space="0" w:color="9AA7B5"/>
        </w:tblBorders>
        <w:tblLayout w:type="autofit"/>
      </w:tblPr>
      <w:tblGrid>
        <w:gridCol w:w="2376"/>
        <w:gridCol w:w="4752"/>
        <w:gridCol w:w="2045"/>
      </w:tblGrid>
      <w:tr>
        <w:trPr>
          <w:tblHeader w:val="true"/>
          <w:cantSplit/>
          <w:tblHeader/>
        </w:trPr>
        <w:tc>
          <w:tcPr>
            <w:tcW w:type="dxa" w:w="2376"/>
            <w:shd w:val="clear" w:color="auto" w:fill="1F3B63"/>
            <w:tcMar>
              <w:top w:w="90" w:type="dxa"/>
              <w:start w:w="95" w:type="dxa"/>
              <w:bottom w:w="90" w:type="dxa"/>
              <w:end w:w="95" w:type="dxa"/>
            </w:tcMar>
            <w:vAlign w:val="center"/>
          </w:tcPr>
          <w:p>
            <w:pPr>
              <w:spacing w:after="20" w:before="20" w:line="240" w:lineRule="auto"/>
              <w:jc w:val="center"/>
            </w:pPr>
            <w:r>
              <w:rPr>
                <w:rFonts w:ascii="Arial" w:hAnsi="Arial"/>
                <w:b/>
                <w:color w:val="FFFFFF"/>
                <w:sz w:val="16"/>
              </w:rPr>
              <w:t>Member / role</w:t>
            </w:r>
          </w:p>
        </w:tc>
        <w:tc>
          <w:tcPr>
            <w:tcW w:type="dxa" w:w="4752"/>
            <w:shd w:val="clear" w:color="auto" w:fill="1F3B63"/>
            <w:tcMar>
              <w:top w:w="90" w:type="dxa"/>
              <w:start w:w="95" w:type="dxa"/>
              <w:bottom w:w="90" w:type="dxa"/>
              <w:end w:w="95" w:type="dxa"/>
            </w:tcMar>
            <w:vAlign w:val="center"/>
          </w:tcPr>
          <w:p>
            <w:pPr>
              <w:spacing w:after="20" w:before="20" w:line="240" w:lineRule="auto"/>
              <w:jc w:val="center"/>
            </w:pPr>
            <w:r>
              <w:rPr>
                <w:rFonts w:ascii="Arial" w:hAnsi="Arial"/>
                <w:b/>
                <w:color w:val="FFFFFF"/>
                <w:sz w:val="16"/>
              </w:rPr>
              <w:t>Contribution evidence</w:t>
            </w:r>
          </w:p>
        </w:tc>
        <w:tc>
          <w:tcPr>
            <w:tcW w:type="dxa" w:w="2045"/>
            <w:shd w:val="clear" w:color="auto" w:fill="1F3B63"/>
            <w:tcMar>
              <w:top w:w="90" w:type="dxa"/>
              <w:start w:w="95" w:type="dxa"/>
              <w:bottom w:w="90" w:type="dxa"/>
              <w:end w:w="95" w:type="dxa"/>
            </w:tcMar>
            <w:vAlign w:val="center"/>
          </w:tcPr>
          <w:p>
            <w:pPr>
              <w:spacing w:after="20" w:before="20" w:line="240" w:lineRule="auto"/>
              <w:jc w:val="center"/>
            </w:pPr>
            <w:r>
              <w:rPr>
                <w:rFonts w:ascii="Arial" w:hAnsi="Arial"/>
                <w:b/>
                <w:color w:val="FFFFFF"/>
                <w:sz w:val="16"/>
              </w:rPr>
              <w:t>Approx. effort</w:t>
            </w:r>
          </w:p>
        </w:tc>
      </w:tr>
      <w:tr>
        <w:trPr>
          <w:cantSplit/>
          <w:cantSplit/>
        </w:trPr>
        <w:tc>
          <w:tcPr>
            <w:tcW w:type="dxa" w:w="2376"/>
            <w:tcMar>
              <w:top w:w="90" w:type="dxa"/>
              <w:start w:w="95" w:type="dxa"/>
              <w:bottom w:w="90" w:type="dxa"/>
              <w:end w:w="95" w:type="dxa"/>
            </w:tcMar>
            <w:vAlign w:val="center"/>
            <w:shd w:fill="FFFFFF"/>
          </w:tcPr>
          <w:p>
            <w:pPr>
              <w:spacing w:after="20" w:before="20" w:line="240" w:lineRule="auto"/>
            </w:pPr>
            <w:r>
              <w:rPr>
                <w:rFonts w:ascii="Arial" w:hAnsi="Arial"/>
                <w:b w:val="0"/>
                <w:color w:val="222222"/>
                <w:sz w:val="16"/>
              </w:rPr>
              <w:t>Author team (identities not in audited project record)</w:t>
            </w:r>
          </w:p>
        </w:tc>
        <w:tc>
          <w:tcPr>
            <w:tcW w:type="dxa" w:w="4752"/>
            <w:tcMar>
              <w:top w:w="90" w:type="dxa"/>
              <w:start w:w="95" w:type="dxa"/>
              <w:bottom w:w="90" w:type="dxa"/>
              <w:end w:w="95" w:type="dxa"/>
            </w:tcMar>
            <w:vAlign w:val="center"/>
            <w:shd w:fill="FFFFFF"/>
          </w:tcPr>
          <w:p>
            <w:pPr>
              <w:spacing w:after="20" w:before="20" w:line="240" w:lineRule="auto"/>
            </w:pPr>
            <w:r>
              <w:rPr>
                <w:rFonts w:ascii="Arial" w:hAnsi="Arial"/>
                <w:b w:val="0"/>
                <w:color w:val="222222"/>
                <w:sz w:val="16"/>
              </w:rPr>
              <w:t>Analyses and drafting require author attribution/confirmation</w:t>
            </w:r>
          </w:p>
        </w:tc>
        <w:tc>
          <w:tcPr>
            <w:tcW w:type="dxa" w:w="2045"/>
            <w:tcMar>
              <w:top w:w="90" w:type="dxa"/>
              <w:start w:w="95" w:type="dxa"/>
              <w:bottom w:w="90" w:type="dxa"/>
              <w:end w:w="95" w:type="dxa"/>
            </w:tcMar>
            <w:vAlign w:val="center"/>
            <w:shd w:fill="FFFFFF"/>
          </w:tcPr>
          <w:p>
            <w:pPr>
              <w:spacing w:after="20" w:before="20" w:line="240" w:lineRule="auto"/>
            </w:pPr>
            <w:r>
              <w:rPr>
                <w:rFonts w:ascii="Arial" w:hAnsi="Arial"/>
                <w:b w:val="0"/>
                <w:color w:val="222222"/>
                <w:sz w:val="16"/>
              </w:rPr>
              <w:t>Not recorded; author team to declare</w:t>
            </w:r>
          </w:p>
        </w:tc>
      </w:tr>
      <w:tr>
        <w:trPr>
          <w:cantSplit/>
          <w:cantSplit/>
        </w:trPr>
        <w:tc>
          <w:tcPr>
            <w:tcW w:type="dxa" w:w="2376"/>
            <w:tcMar>
              <w:top w:w="90" w:type="dxa"/>
              <w:start w:w="95" w:type="dxa"/>
              <w:bottom w:w="90" w:type="dxa"/>
              <w:end w:w="95" w:type="dxa"/>
            </w:tcMar>
            <w:vAlign w:val="center"/>
            <w:shd w:fill="EAF0F6"/>
          </w:tcPr>
          <w:p>
            <w:pPr>
              <w:spacing w:after="20" w:before="20" w:line="240" w:lineRule="auto"/>
            </w:pPr>
            <w:r>
              <w:rPr>
                <w:rFonts w:ascii="Arial" w:hAnsi="Arial"/>
                <w:b w:val="0"/>
                <w:color w:val="222222"/>
                <w:sz w:val="16"/>
              </w:rPr>
              <w:t>Data acquisition / consent</w:t>
            </w:r>
          </w:p>
        </w:tc>
        <w:tc>
          <w:tcPr>
            <w:tcW w:type="dxa" w:w="4752"/>
            <w:tcMar>
              <w:top w:w="90" w:type="dxa"/>
              <w:start w:w="95" w:type="dxa"/>
              <w:bottom w:w="90" w:type="dxa"/>
              <w:end w:w="95" w:type="dxa"/>
            </w:tcMar>
            <w:vAlign w:val="center"/>
            <w:shd w:fill="EAF0F6"/>
          </w:tcPr>
          <w:p>
            <w:pPr>
              <w:spacing w:after="20" w:before="20" w:line="240" w:lineRule="auto"/>
            </w:pPr>
            <w:r>
              <w:rPr>
                <w:rFonts w:ascii="Arial" w:hAnsi="Arial"/>
                <w:b w:val="0"/>
                <w:color w:val="222222"/>
                <w:sz w:val="16"/>
              </w:rPr>
              <w:t>No attributable member-level record in reviewed materials</w:t>
            </w:r>
          </w:p>
        </w:tc>
        <w:tc>
          <w:tcPr>
            <w:tcW w:type="dxa" w:w="2045"/>
            <w:tcMar>
              <w:top w:w="90" w:type="dxa"/>
              <w:start w:w="95" w:type="dxa"/>
              <w:bottom w:w="90" w:type="dxa"/>
              <w:end w:w="95" w:type="dxa"/>
            </w:tcMar>
            <w:vAlign w:val="center"/>
            <w:shd w:fill="EAF0F6"/>
          </w:tcPr>
          <w:p>
            <w:pPr>
              <w:spacing w:after="20" w:before="20" w:line="240" w:lineRule="auto"/>
            </w:pPr>
            <w:r>
              <w:rPr>
                <w:rFonts w:ascii="Arial" w:hAnsi="Arial"/>
                <w:b w:val="0"/>
                <w:color w:val="222222"/>
                <w:sz w:val="16"/>
              </w:rPr>
              <w:t>Not recorded</w:t>
            </w:r>
          </w:p>
        </w:tc>
      </w:tr>
      <w:tr>
        <w:trPr>
          <w:cantSplit/>
          <w:cantSplit/>
        </w:trPr>
        <w:tc>
          <w:tcPr>
            <w:tcW w:type="dxa" w:w="2376"/>
            <w:tcMar>
              <w:top w:w="90" w:type="dxa"/>
              <w:start w:w="95" w:type="dxa"/>
              <w:bottom w:w="90" w:type="dxa"/>
              <w:end w:w="95" w:type="dxa"/>
            </w:tcMar>
            <w:vAlign w:val="center"/>
            <w:shd w:fill="FFFFFF"/>
          </w:tcPr>
          <w:p>
            <w:pPr>
              <w:spacing w:after="20" w:before="20" w:line="240" w:lineRule="auto"/>
            </w:pPr>
            <w:r>
              <w:rPr>
                <w:rFonts w:ascii="Arial" w:hAnsi="Arial"/>
                <w:b w:val="0"/>
                <w:color w:val="222222"/>
                <w:sz w:val="16"/>
              </w:rPr>
              <w:t>Code / review / supervision</w:t>
            </w:r>
          </w:p>
        </w:tc>
        <w:tc>
          <w:tcPr>
            <w:tcW w:type="dxa" w:w="4752"/>
            <w:tcMar>
              <w:top w:w="90" w:type="dxa"/>
              <w:start w:w="95" w:type="dxa"/>
              <w:bottom w:w="90" w:type="dxa"/>
              <w:end w:w="95" w:type="dxa"/>
            </w:tcMar>
            <w:vAlign w:val="center"/>
            <w:shd w:fill="FFFFFF"/>
          </w:tcPr>
          <w:p>
            <w:pPr>
              <w:spacing w:after="20" w:before="20" w:line="240" w:lineRule="auto"/>
            </w:pPr>
            <w:r>
              <w:rPr>
                <w:rFonts w:ascii="Arial" w:hAnsi="Arial"/>
                <w:b w:val="0"/>
                <w:color w:val="222222"/>
                <w:sz w:val="16"/>
              </w:rPr>
              <w:t>No attributable member-level record in reviewed materials</w:t>
            </w:r>
          </w:p>
        </w:tc>
        <w:tc>
          <w:tcPr>
            <w:tcW w:type="dxa" w:w="2045"/>
            <w:tcMar>
              <w:top w:w="90" w:type="dxa"/>
              <w:start w:w="95" w:type="dxa"/>
              <w:bottom w:w="90" w:type="dxa"/>
              <w:end w:w="95" w:type="dxa"/>
            </w:tcMar>
            <w:vAlign w:val="center"/>
            <w:shd w:fill="FFFFFF"/>
          </w:tcPr>
          <w:p>
            <w:pPr>
              <w:spacing w:after="20" w:before="20" w:line="240" w:lineRule="auto"/>
            </w:pPr>
            <w:r>
              <w:rPr>
                <w:rFonts w:ascii="Arial" w:hAnsi="Arial"/>
                <w:b w:val="0"/>
                <w:color w:val="222222"/>
                <w:sz w:val="16"/>
              </w:rPr>
              <w:t>Not recorded</w:t>
            </w:r>
          </w:p>
        </w:tc>
      </w:tr>
      <w:tr>
        <w:trPr>
          <w:cantSplit/>
          <w:cantSplit/>
        </w:trPr>
        <w:tc>
          <w:tcPr>
            <w:tcW w:type="dxa" w:w="2376"/>
            <w:tcMar>
              <w:top w:w="90" w:type="dxa"/>
              <w:start w:w="95" w:type="dxa"/>
              <w:bottom w:w="90" w:type="dxa"/>
              <w:end w:w="95" w:type="dxa"/>
            </w:tcMar>
            <w:vAlign w:val="center"/>
            <w:shd w:fill="EAF0F6"/>
          </w:tcPr>
          <w:p>
            <w:pPr>
              <w:spacing w:after="20" w:before="20" w:line="240" w:lineRule="auto"/>
            </w:pPr>
            <w:r>
              <w:rPr>
                <w:rFonts w:ascii="Arial" w:hAnsi="Arial"/>
                <w:b w:val="0"/>
                <w:color w:val="222222"/>
                <w:sz w:val="16"/>
              </w:rPr>
              <w:t>Funding / institutional approvals</w:t>
            </w:r>
          </w:p>
        </w:tc>
        <w:tc>
          <w:tcPr>
            <w:tcW w:type="dxa" w:w="4752"/>
            <w:tcMar>
              <w:top w:w="90" w:type="dxa"/>
              <w:start w:w="95" w:type="dxa"/>
              <w:bottom w:w="90" w:type="dxa"/>
              <w:end w:w="95" w:type="dxa"/>
            </w:tcMar>
            <w:vAlign w:val="center"/>
            <w:shd w:fill="EAF0F6"/>
          </w:tcPr>
          <w:p>
            <w:pPr>
              <w:spacing w:after="20" w:before="20" w:line="240" w:lineRule="auto"/>
            </w:pPr>
            <w:r>
              <w:rPr>
                <w:rFonts w:ascii="Arial" w:hAnsi="Arial"/>
                <w:b w:val="0"/>
                <w:color w:val="222222"/>
                <w:sz w:val="16"/>
              </w:rPr>
              <w:t>Not identified in audited files</w:t>
            </w:r>
          </w:p>
        </w:tc>
        <w:tc>
          <w:tcPr>
            <w:tcW w:type="dxa" w:w="2045"/>
            <w:tcMar>
              <w:top w:w="90" w:type="dxa"/>
              <w:start w:w="95" w:type="dxa"/>
              <w:bottom w:w="90" w:type="dxa"/>
              <w:end w:w="95" w:type="dxa"/>
            </w:tcMar>
            <w:vAlign w:val="center"/>
            <w:shd w:fill="EAF0F6"/>
          </w:tcPr>
          <w:p>
            <w:pPr>
              <w:spacing w:after="20" w:before="20" w:line="240" w:lineRule="auto"/>
            </w:pPr>
            <w:r>
              <w:rPr>
                <w:rFonts w:ascii="Arial" w:hAnsi="Arial"/>
                <w:b w:val="0"/>
                <w:color w:val="222222"/>
                <w:sz w:val="16"/>
              </w:rPr>
              <w:t>Not recorded</w:t>
            </w:r>
          </w:p>
        </w:tc>
      </w:tr>
    </w:tbl>
    <w:p>
      <w:pPr>
        <w:spacing w:before="100" w:after="120"/>
      </w:pPr>
      <w:r>
        <w:rPr>
          <w:rFonts w:ascii="Arial" w:hAnsi="Arial"/>
          <w:sz w:val="18"/>
        </w:rPr>
        <w:t>Ethics and consent: the audited materials did not contain an approval or consent record. The responsible authors must confirm the applicable institutional documentation before submission.</w:t>
      </w:r>
    </w:p>
    <w:p>
      <w:pPr>
        <w:pageBreakBefore w:val="0"/>
        <w:spacing w:after="160" w:before="0"/>
        <w:jc w:val="both"/>
      </w:pPr>
    </w:p>
    <w:p>
      <w:pPr>
        <w:pStyle w:val="Heading1"/>
        <w:keepNext/>
        <w:pageBreakBefore w:val="0"/>
        <w:spacing w:before="280" w:after="120"/>
      </w:pPr>
      <w:r>
        <w:rPr>
          <w:rFonts w:ascii="Arial" w:hAnsi="Arial"/>
          <w:b/>
          <w:color w:val="1F3B63"/>
          <w:sz w:val="30"/>
        </w:rPr>
        <w:t>10.  References</w:t>
      </w:r>
    </w:p>
    <w:p>
      <w:pPr>
        <w:pageBreakBefore w:val="0"/>
        <w:widowControl/>
        <w:spacing w:after="60" w:line="240" w:lineRule="auto"/>
        <w:ind w:left="317" w:hanging="317"/>
      </w:pPr>
      <w:r>
        <w:rPr>
          <w:rFonts w:ascii="Arial" w:hAnsi="Arial"/>
          <w:sz w:val="16"/>
        </w:rPr>
        <w:t>[1] Carlo J. De Luca, L. Donald Gilmore, Mikhail Kuznetsov, Serge H. Roy, "Filtering the surface EMG signal: Movement artifact and baseline noise contamination", Journal of Biomechanics, vol. 43, no. 8, pp. 1573-1579, 2010, doi: 10.1016/j.jbiomech.2010.01.027.</w:t>
      </w:r>
    </w:p>
    <w:p>
      <w:pPr>
        <w:widowControl/>
        <w:spacing w:after="60" w:line="240" w:lineRule="auto"/>
        <w:ind w:left="317" w:hanging="317"/>
      </w:pPr>
      <w:r>
        <w:rPr>
          <w:rFonts w:ascii="Arial" w:hAnsi="Arial"/>
          <w:b w:val="0"/>
          <w:i w:val="0"/>
          <w:sz w:val="16"/>
        </w:rPr>
        <w:t>[2] Yongqing Zhang, Siyu Chen, Wenpeng Cao, Peng Guo, Dongrui Gao, Manqing Wang, Jiliu Zhou, Ting Wang, "MFFNet: Multi-dimensional Feature Fusion Network based on attention mechanism for sEMG analysis to detect muscle fatigue", Expert Systems with Applications, vol. 185, pp. 115639, 2021, doi: 10.1016/j.eswa.2021.115639.</w:t>
      </w:r>
    </w:p>
    <w:p>
      <w:pPr>
        <w:widowControl/>
        <w:spacing w:after="60" w:line="240" w:lineRule="auto"/>
        <w:ind w:left="317" w:hanging="317"/>
      </w:pPr>
      <w:r>
        <w:rPr>
          <w:rFonts w:ascii="Arial" w:hAnsi="Arial"/>
          <w:b w:val="0"/>
          <w:i w:val="0"/>
          <w:sz w:val="16"/>
        </w:rPr>
        <w:t>[3] Quan Liu, Yang Liu, Congsheng Zhang, Zhili Ruan, Wei Meng, Yilun Cai, Qingsong Ai, "sEMG-Based Dynamic Muscle Fatigue Classification Using SVM With Improved Whale Optimization Algorithm", IEEE Internet of Things Journal, vol. 8, no. 23, pp. 16835-16844, 2021, doi: 10.1109/JIOT.2021.3056126.</w:t>
      </w:r>
    </w:p>
    <w:p>
      <w:pPr>
        <w:widowControl/>
        <w:spacing w:after="60" w:line="240" w:lineRule="auto"/>
        <w:ind w:left="317" w:hanging="317"/>
      </w:pPr>
      <w:r>
        <w:rPr>
          <w:rFonts w:ascii="Arial" w:hAnsi="Arial"/>
          <w:b w:val="0"/>
          <w:i w:val="0"/>
          <w:sz w:val="16"/>
        </w:rPr>
        <w:t>[4] Navaneethakrishna Makaram, P. A. Karthick, Ramakrishnan Swaminathan, "Analysis of Dynamics of EMG Signal Variations in Fatiguing Contractions of Muscles Using Transition Network Approach", IEEE Transactions on Instrumentation and Measurement, vol. 70, pp. 1-8, 2021, doi: 10.1109/TIM.2021.3063777.</w:t>
      </w:r>
    </w:p>
    <w:p>
      <w:pPr>
        <w:widowControl/>
        <w:spacing w:after="60" w:line="240" w:lineRule="auto"/>
        <w:ind w:left="317" w:hanging="317"/>
      </w:pPr>
      <w:r>
        <w:rPr>
          <w:rFonts w:ascii="Arial" w:hAnsi="Arial"/>
          <w:b w:val="0"/>
          <w:i w:val="0"/>
          <w:sz w:val="16"/>
        </w:rPr>
        <w:t>[5] Junhong Wang, Shaoming Sun, Yining Sun, "A Muscle Fatigue Classification Model Based on LSTM and Improved Wavelet Packet Threshold", Sensors, vol. 21, no. 19, pp. 6369, 2021, doi: 10.3390/s21196369.</w:t>
      </w:r>
    </w:p>
    <w:p>
      <w:pPr>
        <w:widowControl/>
        <w:spacing w:after="60" w:line="240" w:lineRule="auto"/>
        <w:ind w:left="317" w:hanging="317"/>
      </w:pPr>
      <w:r>
        <w:rPr>
          <w:rFonts w:ascii="Arial" w:hAnsi="Arial"/>
          <w:b w:val="0"/>
          <w:i w:val="0"/>
          <w:sz w:val="16"/>
        </w:rPr>
        <w:t>[6] Dinghong Mu, Fenglei Li, Linxinying Yu, Chunlin Du, Linhua Ge, Tao Sun, "Study on exercise muscle fatigue based on sEMG and ECG data fusion and temporal convolutional network", PLOS ONE, vol. 17, no. 12, pp. e0276921, 2022, doi: 10.1371/journal.pone.0276921.</w:t>
      </w:r>
    </w:p>
    <w:p>
      <w:pPr>
        <w:widowControl/>
        <w:spacing w:after="60" w:line="240" w:lineRule="auto"/>
        <w:ind w:left="317" w:hanging="317"/>
      </w:pPr>
      <w:r>
        <w:rPr>
          <w:rFonts w:ascii="Arial" w:hAnsi="Arial"/>
          <w:b w:val="0"/>
          <w:i w:val="0"/>
          <w:sz w:val="16"/>
        </w:rPr>
        <w:t>[7] Hassan M. Qassim, Wan Zuha Wan Hasan, Hafiz R. Ramli, Hazreen Haizi Harith, Liyana Najwa Inche Mat, Luthffi Idzhar Ismail, "Proposed Fatigue Index for the Objective Detection of Muscle Fatigue Using Surface Electromyography and a Double-Step Binary Classifier", Sensors, vol. 22, no. 5, pp. 1900, 2022, doi: 10.3390/s22051900.</w:t>
      </w:r>
    </w:p>
    <w:p>
      <w:pPr>
        <w:widowControl/>
        <w:spacing w:after="60" w:line="240" w:lineRule="auto"/>
        <w:ind w:left="317" w:hanging="317"/>
      </w:pPr>
      <w:r>
        <w:rPr>
          <w:rFonts w:ascii="Arial" w:hAnsi="Arial"/>
          <w:b w:val="0"/>
          <w:i w:val="0"/>
          <w:sz w:val="16"/>
        </w:rPr>
        <w:t>[8] Sujan Acharya, Krishna Kisi, Sabrin Raj Gautam, Tarek Mahmud, Rujan Kayastha, "A High-Performance Hybrid Transformer–LSTM–XGBoost Model for sEMG-Based Fatigue Detection in Simulated Roofing Postures", Buildings, vol. 15, no. 17, art. 3005, 2025, doi: 10.3390/buildings15173005.</w:t>
      </w:r>
    </w:p>
    <w:p>
      <w:pPr>
        <w:widowControl/>
        <w:spacing w:after="60" w:line="240" w:lineRule="auto"/>
        <w:ind w:left="317" w:hanging="317"/>
      </w:pPr>
      <w:r>
        <w:rPr>
          <w:rFonts w:ascii="Arial" w:hAnsi="Arial"/>
          <w:b w:val="0"/>
          <w:i w:val="0"/>
          <w:sz w:val="16"/>
        </w:rPr>
        <w:t>[9] Saahil Chand, Andrew McDaid, Yuqian Lu, "Dynamic muscle fatigue assessment using s-EMG technology towards human-centric human-robot collaboration", Journal of Manufacturing Systems, vol. 68, pp. 508-522, 2023, doi: 10.1016/j.jmsy.2023.05.022.</w:t>
      </w:r>
    </w:p>
    <w:p>
      <w:pPr>
        <w:widowControl/>
        <w:spacing w:after="60" w:line="240" w:lineRule="auto"/>
        <w:ind w:left="317" w:hanging="317"/>
      </w:pPr>
      <w:r>
        <w:rPr>
          <w:rFonts w:ascii="Arial" w:hAnsi="Arial"/>
          <w:b w:val="0"/>
          <w:i w:val="0"/>
          <w:sz w:val="16"/>
        </w:rPr>
        <w:t>[10] Jingxuan Liu, Qing Tao, Bin Wu, "Dynamic Muscle Fatigue State Recognition Based on Deep Learning Fusion Model", IEEE Access, vol. 11, pp. 95079-95091, 2023, doi: 10.1109/ACCESS.2023.3309741.</w:t>
      </w:r>
    </w:p>
    <w:p>
      <w:pPr>
        <w:widowControl/>
        <w:spacing w:after="60" w:line="240" w:lineRule="auto"/>
        <w:ind w:left="317" w:hanging="317"/>
      </w:pPr>
      <w:r>
        <w:rPr>
          <w:rFonts w:ascii="Arial" w:hAnsi="Arial"/>
          <w:b w:val="0"/>
          <w:i w:val="0"/>
          <w:sz w:val="16"/>
        </w:rPr>
        <w:t>[11] Sophia Otálora, Marcelo E. V. Segatto, Maxwell E. Monteiro, Marcela Múnera, Camilo A. R. Díaz, Carlos A. Cifuentes, "Data-Driven Approach for Upper Limb Fatigue Estimation Based on Wearable Sensors", Sensors, vol. 23, no. 22, pp. 9291, 2023, doi: 10.3390/s23229291.</w:t>
      </w:r>
    </w:p>
    <w:p>
      <w:pPr>
        <w:widowControl/>
        <w:spacing w:after="60" w:line="240" w:lineRule="auto"/>
        <w:ind w:left="317" w:hanging="317"/>
      </w:pPr>
      <w:r>
        <w:rPr>
          <w:rFonts w:ascii="Arial" w:hAnsi="Arial"/>
          <w:b w:val="0"/>
          <w:i w:val="0"/>
          <w:sz w:val="16"/>
        </w:rPr>
        <w:t>[12] Hao Li, Dujuan Li, "Research on the recognition model of exercise fatigue based on the fusion of sEMG and ECG signals", iScience, vol. 27, no. 4, pp. 109365, 2024, doi: 10.1016/j.isci.2024.109365.</w:t>
      </w:r>
    </w:p>
    <w:p>
      <w:pPr>
        <w:widowControl/>
        <w:spacing w:after="60" w:line="240" w:lineRule="auto"/>
        <w:ind w:left="317" w:hanging="317"/>
      </w:pPr>
      <w:r>
        <w:rPr>
          <w:rFonts w:ascii="Arial" w:hAnsi="Arial"/>
          <w:b w:val="0"/>
          <w:i w:val="0"/>
          <w:sz w:val="16"/>
        </w:rPr>
        <w:t>[13] Merve Nur Yasar, Marco Sica, Brendan O’Flynn, Salvatore Tedesco, Matteo Menolotto, "A dataset for fatigue estimation during shoulder internal and external rotation movements using wearables", Scientific Data, vol. 11, no. 1, Art. no. 433, 2024, doi: 10.1038/s41597-024-03254-8.</w:t>
      </w:r>
    </w:p>
    <w:p>
      <w:pPr>
        <w:widowControl/>
        <w:spacing w:after="60" w:line="240" w:lineRule="auto"/>
        <w:ind w:left="317" w:hanging="317"/>
      </w:pPr>
      <w:r>
        <w:rPr>
          <w:rFonts w:ascii="Arial" w:hAnsi="Arial"/>
          <w:b w:val="0"/>
          <w:i w:val="0"/>
          <w:sz w:val="16"/>
        </w:rPr>
        <w:t>[14] Dinghong Mu, Jian Wang, Fenglei Li, Wujin Hu, Rong Chen, "Multilevel attention mechanism for motion fatigue recognition based on sEMG and ACC signal fusion", PLOS ONE, vol. 19, no. 11, pp. e0310035, 2024, doi: 10.1371/journal.pone.0310035.</w:t>
      </w:r>
    </w:p>
    <w:p>
      <w:pPr>
        <w:widowControl/>
        <w:spacing w:after="60" w:line="240" w:lineRule="auto"/>
        <w:ind w:left="317" w:hanging="317"/>
      </w:pPr>
      <w:r>
        <w:rPr>
          <w:rFonts w:ascii="Arial" w:hAnsi="Arial"/>
          <w:b w:val="0"/>
          <w:i w:val="0"/>
          <w:sz w:val="16"/>
        </w:rPr>
        <w:t>[15] Wenbo Zhang, Ziqian Bai, Pengfei Yan, Hongwei Liu, Li Shao, "Recognition of Human Lower Limb Motion and Muscle Fatigue Status Using a Wearable FES-sEMG System", Sensors, vol. 24, no. 7, pp. 2377, 2024, doi: 10.3390/s24072377.</w:t>
      </w:r>
    </w:p>
    <w:p>
      <w:pPr>
        <w:widowControl/>
        <w:spacing w:after="60" w:line="240" w:lineRule="auto"/>
        <w:ind w:left="317" w:hanging="317"/>
      </w:pPr>
      <w:r>
        <w:rPr>
          <w:rFonts w:ascii="Arial" w:hAnsi="Arial"/>
          <w:b w:val="0"/>
          <w:i w:val="0"/>
          <w:sz w:val="16"/>
        </w:rPr>
        <w:t>[16] Sara M. Cerqueira, Rita Vilas Boas, Joana Figueiredo, Cristina P. Santos, "A Comprehensive Dataset of Surface Electromyography and Self-Perceived Fatigue Levels for Muscle Fatigue Analysis", Sensors, vol. 24, no. 24, pp. 8081, 2024, doi: 10.3390/s24248081.</w:t>
      </w:r>
    </w:p>
    <w:p>
      <w:pPr>
        <w:widowControl/>
        <w:spacing w:after="60" w:line="240" w:lineRule="auto"/>
        <w:ind w:left="317" w:hanging="317"/>
      </w:pPr>
      <w:r>
        <w:rPr>
          <w:rFonts w:ascii="Arial" w:hAnsi="Arial"/>
          <w:b w:val="0"/>
          <w:i w:val="0"/>
          <w:sz w:val="16"/>
        </w:rPr>
        <w:t>[17] Lin-I Hsu, Kai-Wen Lim, Ying-Hui Lai, Yin-Liang Lin, Yu-Jen Chen, Chen-Sheng Chen, Li-Wei Chou, "Turns-amplitude and power spectral analyses of surface EMG for assessing muscle fatigue and recovery during dynamic hand gripping", Computers in Biology and Medicine, vol. 193, pp. 110430, 2025, doi: 10.1016/j.compbiomed.2025.110430.</w:t>
      </w:r>
    </w:p>
    <w:p>
      <w:pPr>
        <w:widowControl/>
        <w:spacing w:after="60" w:line="240" w:lineRule="auto"/>
        <w:ind w:left="317" w:hanging="317"/>
      </w:pPr>
      <w:r>
        <w:rPr>
          <w:rFonts w:ascii="Arial" w:hAnsi="Arial"/>
          <w:b w:val="0"/>
          <w:i w:val="0"/>
          <w:sz w:val="16"/>
        </w:rPr>
        <w:t>[18] Kourosh Kakhi, Senthil Kumar Jagatheesaperumal, Abbas Khosravi, Roohallah Alizadehsani, U. Rajendra Acharya, "Fatigue monitoring using wearables and AI: Trends, challenges, and future opportunities", Computers in Biology and Medicine, vol. 195, pp. 110461, 2025, doi: 10.1016/j.compbiomed.2025.110461.</w:t>
      </w:r>
    </w:p>
    <w:p>
      <w:pPr>
        <w:widowControl/>
        <w:spacing w:after="60" w:line="240" w:lineRule="auto"/>
        <w:ind w:left="317" w:hanging="317"/>
      </w:pPr>
      <w:r>
        <w:rPr>
          <w:rFonts w:ascii="Arial" w:hAnsi="Arial"/>
          <w:b w:val="0"/>
          <w:i w:val="0"/>
          <w:sz w:val="16"/>
        </w:rPr>
        <w:t>[19] Junjie Chen, Xi Wang, Qiao Li, Bo Shen, Xiaoming Tao, "Wearable multimodal sensing platform for contraction and fatigue transition monitoring of biceps in motion using machine learning", Sensors and Actuators A: Physical, vol. 396, pp. 117127, 2025, doi: 10.1016/j.sna.2025.117127.</w:t>
      </w:r>
    </w:p>
    <w:p>
      <w:pPr>
        <w:widowControl/>
        <w:spacing w:after="60" w:line="240" w:lineRule="auto"/>
        <w:ind w:left="317" w:hanging="317"/>
      </w:pPr>
      <w:r>
        <w:rPr>
          <w:rFonts w:ascii="Arial" w:hAnsi="Arial"/>
          <w:b w:val="0"/>
          <w:i w:val="0"/>
          <w:sz w:val="16"/>
        </w:rPr>
        <w:t>[20] Guofu Zhang, Banghua Yang, Peng Zan, Dingguo Zhang, "Multilevel Assessment of Exercise Fatigue Utilizing Multiple Attention and Convolution Network (MACNet) Based on Surface Electromyography", IEEE Transactions on Neural Systems and Rehabilitation Engineering, vol. 33, pp. 243-254, 2025, doi: 10.1109/TNSRE.2024.3523332.</w:t>
      </w:r>
    </w:p>
    <w:p>
      <w:pPr>
        <w:widowControl/>
        <w:spacing w:after="60" w:line="240" w:lineRule="auto"/>
        <w:ind w:left="317" w:hanging="317"/>
      </w:pPr>
      <w:r>
        <w:rPr>
          <w:rFonts w:ascii="Arial" w:hAnsi="Arial"/>
          <w:b w:val="0"/>
          <w:i w:val="0"/>
          <w:sz w:val="16"/>
        </w:rPr>
        <w:t>[21] Huiming Pan, Dongxuan Li, Chen Chen, Peter B. Shull, "High-Density EMG Grip Force Estimation During Muscle Fatigue via Domain Adaptation", IEEE Transactions on Neural Systems and Rehabilitation Engineering, vol. 33, pp. 925-934, 2025, doi: 10.1109/TNSRE.2025.3541227.</w:t>
      </w:r>
    </w:p>
    <w:p>
      <w:pPr>
        <w:widowControl/>
        <w:spacing w:after="60" w:line="240" w:lineRule="auto"/>
        <w:ind w:left="317" w:hanging="317"/>
      </w:pPr>
      <w:r>
        <w:rPr>
          <w:rFonts w:ascii="Arial" w:hAnsi="Arial"/>
          <w:b w:val="0"/>
          <w:i w:val="0"/>
          <w:sz w:val="16"/>
        </w:rPr>
        <w:t>[22] Zhao Liu, Jiexin Zhang, Hao Zhou, Ruikai Cao, Yixuan Sheng, Zhen Song, Bo Zhang, Min Zhang, Honghai Liu, "A Dual-Fatigue Speed Guidance Model for Isokinetic Training: Cognitive and sEMG-Based Physiological Fatigue Approach", IEEE Transactions on Neural Systems and Rehabilitation Engineering, vol. 33, pp. 2311-2321, 2025, doi: 10.1109/TNSRE.2025.3578304.</w:t>
      </w:r>
    </w:p>
    <w:p>
      <w:pPr>
        <w:widowControl/>
        <w:spacing w:after="60" w:line="240" w:lineRule="auto"/>
        <w:ind w:left="317" w:hanging="317"/>
      </w:pPr>
      <w:r>
        <w:rPr>
          <w:rFonts w:ascii="Arial" w:hAnsi="Arial"/>
          <w:b w:val="0"/>
          <w:i w:val="0"/>
          <w:sz w:val="16"/>
        </w:rPr>
        <w:t>[23] Soree Hwang, Nayeon Kwon, Dongwon Lee, Jongman Kim, Sumin Yang, Inchan Youn, Hyuk-June Moon, Joon-Kyung Sung, Sungmin Han, "A Multimodal Fatigue Detection System Using sEMG and IMU Signals with a Hybrid CNN-LSTM-Attention Model", Sensors, vol. 25, no. 11, pp. 3309, 2025, doi: 10.3390/s25113309.</w:t>
      </w:r>
    </w:p>
    <w:p>
      <w:pPr>
        <w:widowControl/>
        <w:spacing w:after="60" w:line="240" w:lineRule="auto"/>
        <w:ind w:left="317" w:hanging="317"/>
      </w:pPr>
      <w:r>
        <w:rPr>
          <w:rFonts w:ascii="Arial" w:hAnsi="Arial"/>
          <w:b w:val="0"/>
          <w:i w:val="0"/>
          <w:sz w:val="16"/>
        </w:rPr>
        <w:t>[24] Zheng Wang, Xiaorong Guan, Dingzhe Li, Changlong Jiang, Yu Bai, Dongrui Yang, Long He, "Study on Muscle Fatigue Classification for Manual Lifting by Fusing sEMG and MMG Signals", Sensors, vol. 25, no. 16, pp. 5023, 2025, doi: 10.3390/s25165023.</w:t>
      </w:r>
    </w:p>
    <w:p>
      <w:pPr>
        <w:widowControl/>
        <w:spacing w:after="60" w:line="240" w:lineRule="auto"/>
        <w:ind w:left="317" w:hanging="317"/>
      </w:pPr>
      <w:r>
        <w:rPr>
          <w:rFonts w:ascii="Arial" w:hAnsi="Arial"/>
          <w:b w:val="0"/>
          <w:i w:val="0"/>
          <w:sz w:val="16"/>
        </w:rPr>
        <w:t>[25] Heeyong Huh, Xiangxing Yang, Samuel Bello, Dennis Runyan, Milan Sivakumar, Pawan Kashyap, Luis Sentis, Nanshu Lu, "Multi-Day Muscle Fatigue Estimation During Dynamic Exercise Using sEMG E-Tattoo and BH-IEEMD Processing", IEEE Transactions on Neural Systems and Rehabilitation Engineering, vol. 34, pp. 3004-3015, 2026, doi: 10.1109/TNSRE.2026.3702857.</w:t>
      </w:r>
    </w:p>
    <w:p>
      <w:pPr>
        <w:widowControl/>
        <w:spacing w:after="60" w:line="240" w:lineRule="auto"/>
        <w:ind w:left="317" w:hanging="317"/>
      </w:pPr>
      <w:r>
        <w:rPr>
          <w:rFonts w:ascii="Arial" w:hAnsi="Arial"/>
          <w:b w:val="0"/>
          <w:i w:val="0"/>
          <w:sz w:val="16"/>
        </w:rPr>
        <w:t>[26] Rongxuan Zhai, Guoqiang Ma, Jun Qiu, Mingxin Gong, Wenxin Niu, Lejun Wang, "Real-time continuous assessment of fatigue from surface electromyography with deep learning for training load regulation in elite cyclists", BMC Sports Science, Medicine and Rehabilitation, vol. 18, no. 1, Art. no. 425, 2026, doi: 10.1186/s13102-026-02080-2.</w:t>
      </w:r>
    </w:p>
    <w:p>
      <w:pPr>
        <w:widowControl/>
        <w:spacing w:after="60" w:line="240" w:lineRule="auto"/>
        <w:ind w:left="317" w:hanging="317"/>
      </w:pPr>
      <w:r>
        <w:rPr>
          <w:rFonts w:ascii="Arial" w:hAnsi="Arial"/>
          <w:b w:val="0"/>
          <w:i w:val="0"/>
          <w:sz w:val="16"/>
        </w:rPr>
        <w:t>[27] Andrea Manni, Gabriele Rescio, Andrea Caroppo, Alessandro Leone, "Muscle Fatigue Assessment in Healthcare Application by Using Surface Electromyography: A Transfer Learning Approach", Sensors, vol. 26, no. 2, Art. no. 654, Jan. 2026, doi: 10.3390/s26020654.</w:t>
      </w:r>
    </w:p>
    <w:p>
      <w:pPr>
        <w:widowControl/>
        <w:spacing w:after="60" w:line="240" w:lineRule="auto"/>
        <w:ind w:left="317" w:hanging="317"/>
      </w:pPr>
      <w:r>
        <w:rPr>
          <w:rFonts w:ascii="Arial" w:hAnsi="Arial"/>
          <w:b w:val="0"/>
          <w:i w:val="0"/>
          <w:sz w:val="16"/>
        </w:rPr>
        <w:t>[28] David R. Roberts, Volker Bahn, Simone Ciuti, Mark S. Boyce, Jane Elith, Gurutzeta Guillera‐Arroita, Severin Hauenstein, José J. Lahoz‐Monfort, Boris Schröder, Wilfried Thuiller, David I. Warton, Brendan A. Wintle, Florian Hartig, Carsten F. Dormann, "Cross‐validation strategies for data with temporal, spatial, hierarchical, or phylogenetic structure", Ecography, vol. 40, no. 8, pp. 913-929, 2017, doi: 10.1111/ecog.02881.</w:t>
      </w:r>
    </w:p>
    <w:p>
      <w:pPr>
        <w:widowControl/>
        <w:spacing w:after="60" w:line="240" w:lineRule="auto"/>
        <w:ind w:left="317" w:hanging="317"/>
      </w:pPr>
      <w:r>
        <w:rPr>
          <w:rFonts w:ascii="Arial" w:hAnsi="Arial"/>
          <w:b w:val="0"/>
          <w:i w:val="0"/>
          <w:sz w:val="16"/>
        </w:rPr>
        <w:t>[29] Gaël Varoquaux, "Cross-validation failure: Small sample sizes lead to large error bars", NeuroImage, vol. 180, pp. 68-77, 2018, doi: 10.1016/j.neuroimage.2017.06.061.</w:t>
      </w:r>
    </w:p>
    <w:p>
      <w:pPr>
        <w:widowControl/>
        <w:spacing w:after="60" w:line="240" w:lineRule="auto"/>
        <w:ind w:left="317" w:hanging="317"/>
      </w:pPr>
      <w:r>
        <w:rPr>
          <w:rFonts w:ascii="Arial" w:hAnsi="Arial"/>
          <w:b w:val="0"/>
          <w:i w:val="0"/>
          <w:sz w:val="16"/>
        </w:rPr>
        <w:t>[30] Sayash Kapoor, Arvind Narayanan, "Leakage and the reproducibility crisis in machine-learning-based science", Patterns, vol. 4, no. 9, pp. 100804, 2023, doi: 10.1016/j.patter.2023.100804.</w:t>
      </w:r>
    </w:p>
    <w:p>
      <w:pPr>
        <w:widowControl/>
        <w:spacing w:after="60" w:line="240" w:lineRule="auto"/>
        <w:ind w:left="317" w:hanging="317"/>
      </w:pPr>
      <w:r>
        <w:rPr>
          <w:rFonts w:ascii="Arial" w:hAnsi="Arial"/>
          <w:b w:val="0"/>
          <w:i w:val="0"/>
          <w:sz w:val="16"/>
        </w:rPr>
        <w:t>[31] Silvia Muceli and Roberto Merletti, "Tutorial. Frequency analysis of the surface EMG signal: Best practices", Journal of Electromyography and Kinesiology, vol. 79, art. 102937, 2024, doi: 10.1016/j.jelekin.2024.102937. Fuente metodológica complementaria; no incluida en el recuento de 30 referencias Q1 SJR.</w:t>
      </w:r>
    </w:p>
    <w:p>
      <w:pPr>
        <w:widowControl/>
        <w:spacing w:after="60" w:line="240" w:lineRule="auto"/>
        <w:ind w:left="317" w:hanging="317"/>
      </w:pPr>
      <w:r>
        <w:rPr>
          <w:rFonts w:ascii="Arial" w:hAnsi="Arial"/>
          <w:b w:val="0"/>
          <w:i w:val="0"/>
          <w:sz w:val="16"/>
        </w:rPr>
        <w:t>[32] Lara McManus, Giuseppe De Vito, and Madeleine M. Lowery, "Analysis and Biophysics of Surface EMG for Physiotherapists and Kinesiologists: Toward a Common Language With Rehabilitation Engineers", Frontiers in Neurology, vol. 11, art. 576729, 2020, doi: 10.3389/fneur.2020.576729. Fuente metodológica complementaria; no incluida en el recuento de 30 referencias Q1 SJR.</w:t>
      </w:r>
    </w:p>
    <w:p>
      <w:pPr>
        <w:widowControl/>
        <w:spacing w:after="60" w:line="240" w:lineRule="auto"/>
        <w:ind w:left="317" w:hanging="317"/>
      </w:pPr>
      <w:r>
        <w:rPr>
          <w:rFonts w:ascii="Arial" w:hAnsi="Arial"/>
          <w:b w:val="0"/>
          <w:i w:val="0"/>
          <w:sz w:val="16"/>
        </w:rPr>
        <w:t>[33] Jun-Young Baek, Jun-Hyeong Kwon, Hamza Khan, and Min-Cheol Lee, "Machine Learning-Driven Muscle Fatigue Estimation in Resistance Training with Assistive Robotics", Sensors, vol. 25, no. 21, art. 6588, 2025, doi: 10.3390/s25216588. Estudio adyacente en revista clasificada Q1 SJR 2025: predice RPE desde datos fuerza-tiempo; no usa EMG como predictor.</w:t>
      </w:r>
    </w:p>
    <w:p>
      <w:pPr>
        <w:widowControl/>
        <w:spacing w:after="60" w:line="240" w:lineRule="auto"/>
        <w:ind w:left="317" w:hanging="317"/>
      </w:pPr>
      <w:r>
        <w:rPr>
          <w:rFonts w:ascii="Arial" w:hAnsi="Arial"/>
          <w:b w:val="0"/>
          <w:i w:val="0"/>
          <w:sz w:val="16"/>
        </w:rPr>
        <w:t>[34] R. A. da Silva, C. Lariviere, A. B. Arsenault, S. Nadeau, and A. Plamondon, The comparison of wavelet- and Fourier-based electromyographic indices of back muscle fatigue during dynamic contractions: validity and reliability results, Electromyography and Clinical Neurophysiology, vol. 48, no. 3–4, pp. 147–162, 2008. PMID: 18551835. Texto integral consultado en ResearchGate (publication ID 5304787; URL: https://www.researchgate.net/publication/5304787_The_comparison_of_wavelet-_and_Fourier-based_electromyographic_indices_of_back_muscle_fatigue_during_dynamic_contractions_Validity_and_reliability_results). Fuente metodológica complementaria; DOI no localizado y no incluida en el recuento del núcleo Q1.</w:t>
      </w:r>
    </w:p>
    <w:p>
      <w:pPr>
        <w:widowControl/>
        <w:spacing w:after="60" w:line="240" w:lineRule="auto"/>
        <w:ind w:left="317" w:hanging="317"/>
      </w:pPr>
      <w:r>
        <w:rPr>
          <w:rFonts w:ascii="Arial" w:hAnsi="Arial"/>
          <w:b w:val="0"/>
          <w:i w:val="0"/>
          <w:sz w:val="16"/>
        </w:rPr>
        <w:t>[35] Shihan Ma, Bo Lv, Chuang Lin, Xinjun Sheng, Xiangyang Zhu, "EMG Signal Filtering Based on Variational Mode Decomposition and Sub-Band Thresholding," IEEE Journal of Biomedical and Health Informatics, vol. 25, no. 1, pp. 47-58, 2021, doi: 10.1109/JBHI.2020.2987528.</w:t>
      </w:r>
    </w:p>
    <w:p>
      <w:pPr>
        <w:widowControl/>
        <w:spacing w:after="60" w:line="240" w:lineRule="auto"/>
        <w:ind w:left="317" w:hanging="317"/>
      </w:pPr>
      <w:r>
        <w:rPr>
          <w:rFonts w:ascii="Arial" w:hAnsi="Arial"/>
          <w:b w:val="0"/>
          <w:i w:val="0"/>
          <w:sz w:val="16"/>
        </w:rPr>
        <w:t>[36] Jingcheng Chen, Yining Sun, Shaoming Sun, Zhiming Yao, "Reducing Power Line Interference from sEMG Signals Based on Synchrosqueezed Wavelet Transform," Sensors, vol. 23, no. 11, pp. 5182, 2023, doi: 10.3390/s23115182.</w:t>
      </w:r>
    </w:p>
    <w:p>
      <w:pPr>
        <w:widowControl/>
        <w:spacing w:after="60" w:line="240" w:lineRule="auto"/>
        <w:ind w:left="317" w:hanging="317"/>
      </w:pPr>
      <w:r>
        <w:rPr>
          <w:rFonts w:ascii="Arial" w:hAnsi="Arial"/>
          <w:b w:val="0"/>
          <w:i w:val="0"/>
          <w:sz w:val="16"/>
        </w:rPr>
        <w:t>[37] D. T. Mewett, K. J. Reynolds, H. Nazeran, "Reducing power line interference in digitised electromyogram recordings by spectrum interpolation," Medical and Biological Engineering and Computing, vol. 42, no. 4, pp. 524-531, 2004, doi: 10.1007/BF02350994.</w:t>
      </w:r>
    </w:p>
    <w:p>
      <w:pPr>
        <w:widowControl/>
        <w:spacing w:after="60" w:line="240" w:lineRule="auto"/>
        <w:ind w:left="317" w:hanging="317"/>
      </w:pPr>
      <w:r>
        <w:rPr>
          <w:rFonts w:ascii="Arial" w:hAnsi="Arial"/>
          <w:b w:val="0"/>
          <w:i w:val="0"/>
          <w:sz w:val="16"/>
        </w:rPr>
        <w:t>[38] Ilhan Karacan, Betilay Topkara Arslan, Ayşe Karaoglu, Tugba Aydin, Simon Gray, Pekcan Ungan, Kemal S. Türker, "Estimating and minimizing movement artifacts in surface electromyogram," Journal of Electromyography and Kinesiology, vol. 70, pp. 102778, 2023, doi: 10.1016/j.jelekin.2023.102778.</w:t>
      </w:r>
    </w:p>
    <w:p>
      <w:pPr>
        <w:widowControl/>
        <w:spacing w:after="60" w:line="240" w:lineRule="auto"/>
        <w:ind w:left="317" w:hanging="317"/>
      </w:pPr>
      <w:r>
        <w:rPr>
          <w:rFonts w:ascii="Arial" w:hAnsi="Arial"/>
          <w:b w:val="0"/>
          <w:i w:val="0"/>
          <w:sz w:val="16"/>
        </w:rPr>
        <w:t>[39] Bryan R. Schlink, Andrew D. Nordin, Daniel P. Ferris, "Comparison of Signal Processing Methods for Reducing Motion Artifacts in High-Density Electromyography During Human Locomotion," IEEE Open Journal of Engineering in Medicine and Biology, vol. 1, pp. 156-165, 2020, doi: 10.1109/OJEMB.2020.2999782.</w:t>
      </w:r>
    </w:p>
    <w:p>
      <w:pPr>
        <w:widowControl/>
        <w:spacing w:after="60" w:line="240" w:lineRule="auto"/>
        <w:ind w:left="317" w:hanging="317"/>
      </w:pPr>
      <w:r>
        <w:rPr>
          <w:rFonts w:ascii="Arial" w:hAnsi="Arial"/>
          <w:b w:val="0"/>
          <w:i w:val="0"/>
          <w:sz w:val="16"/>
        </w:rPr>
        <w:t>[40] Yang Zheng, Xiaogang Hu, "Interference Removal From Electromyography Based on Independent Component Analysis," IEEE Transactions on Neural Systems and Rehabilitation Engineering, vol. 27, no. 5, pp. 887-894, 2019, doi: 10.1109/TNSRE.2019.2910387.</w:t>
      </w:r>
    </w:p>
    <w:p>
      <w:pPr>
        <w:widowControl/>
        <w:spacing w:after="60" w:line="240" w:lineRule="auto"/>
        <w:ind w:left="317" w:hanging="317"/>
      </w:pPr>
      <w:r>
        <w:rPr>
          <w:rFonts w:ascii="Arial" w:hAnsi="Arial"/>
          <w:b w:val="0"/>
          <w:i w:val="0"/>
          <w:sz w:val="16"/>
        </w:rPr>
        <w:t>[41] Panagiotis Tsinganos et al., "Data Augmentation of Surface Electromyography for Hand Gesture Recognition," Sensors, vol. 20, no. 17, pp. 4892, 2020, doi: 10.3390/s20174892.</w:t>
      </w:r>
    </w:p>
    <w:p>
      <w:pPr>
        <w:widowControl/>
        <w:spacing w:after="60" w:line="240" w:lineRule="auto"/>
        <w:ind w:left="317" w:hanging="317"/>
      </w:pPr>
      <w:r>
        <w:rPr>
          <w:rFonts w:ascii="Arial" w:hAnsi="Arial"/>
          <w:b w:val="0"/>
          <w:i w:val="0"/>
          <w:sz w:val="16"/>
        </w:rPr>
        <w:t>[42] Daniele Esposito, Jessica Centracchio, Paolo Bifulco, Emilio Andreozzi et al., "A smart approach to EMG envelope extraction and powerful denoising for human-machine interfaces," Scientific Reports, vol. 13, pp. 7768, 2023, doi: 10.1038/s41598-023-33319-4.</w:t>
      </w:r>
    </w:p>
    <w:p>
      <w:pPr>
        <w:widowControl/>
        <w:spacing w:after="60" w:line="240" w:lineRule="auto"/>
        <w:ind w:left="317" w:hanging="317"/>
      </w:pPr>
      <w:r>
        <w:rPr>
          <w:rFonts w:ascii="Arial" w:hAnsi="Arial"/>
          <w:b w:val="0"/>
          <w:i w:val="0"/>
          <w:sz w:val="16"/>
        </w:rPr>
        <w:t>[43] S. D. H. Soedirdjo, K. Ullah, R. Merletti, "Power line interference attenuation in multi-channel sEMG signals: Algorithms and analysis," in 2015 37th Annual International Conference of the IEEE Engineering in Medicine and Biology Society, pp. 3823-3826, 2015, doi: 10.1109/EMBC.2015.7319227.</w:t>
      </w:r>
    </w:p>
    <w:p>
      <w:pPr>
        <w:widowControl/>
        <w:spacing w:after="60" w:line="240" w:lineRule="auto"/>
        <w:ind w:left="317" w:hanging="317"/>
      </w:pPr>
      <w:r>
        <w:rPr>
          <w:rFonts w:ascii="Arial" w:hAnsi="Arial"/>
          <w:b w:val="0"/>
          <w:i w:val="0"/>
          <w:sz w:val="16"/>
        </w:rPr>
        <w:t>[44] Mert Ergeneci, Erkan Bayram, David Binningsley, Daryl Carter, and Panagiotis Kosmas, "A Novel Framework for Motion-Induced Artefact Cancellation in sEMG: Evaluation on English Premier League and Ninapro Datasets," IEEE Sensors Journal, vol. 24, no. 14, pp. 22610-22619, 2024, doi: 10.1109/JSEN.2024.3404566. Fuente metodológica complementaria; solo se revisó el abstract editorial; cuartil no atribuido.</w:t>
      </w:r>
    </w:p>
    <w:p>
      <w:pPr>
        <w:pageBreakBefore w:val="0"/>
        <w:spacing w:after="40"/>
      </w:pPr>
    </w:p>
    <w:p>
      <w:pPr>
        <w:pageBreakBefore w:val="0"/>
        <w:spacing w:after="40"/>
      </w:pPr>
    </w:p>
    <w:p>
      <w:pPr>
        <w:pageBreakBefore w:val="0"/>
        <w:spacing w:after="40"/>
      </w:pPr>
    </w:p>
    <w:p>
      <w:pPr>
        <w:pageBreakBefore w:val="0"/>
        <w:spacing w:after="120" w:before="0"/>
        <w:jc w:val="both"/>
      </w:pPr>
    </w:p>
    <w:p>
      <w:pPr>
        <w:pStyle w:val="Heading1"/>
        <w:keepNext/>
        <w:pageBreakBefore w:val="0"/>
        <w:spacing w:before="280" w:after="120"/>
      </w:pPr>
      <w:r>
        <w:rPr>
          <w:rFonts w:ascii="Arial" w:hAnsi="Arial"/>
          <w:b/>
          <w:color w:val="1F3B63"/>
          <w:sz w:val="30"/>
        </w:rPr>
        <w:t>Appendix A - Additional figures</w:t>
      </w:r>
    </w:p>
    <w:p>
      <w:pPr>
        <w:pageBreakBefore w:val="0"/>
        <w:widowControl/>
        <w:spacing w:after="40"/>
      </w:pPr>
      <w:r>
        <w:t>Appendix A contains the aggregate bilateral RMS/MDF/MNF trajectories, nested model comparison, family ROC curves, nested confusion matrix, leg-by-series heatmap, filter responses and aggregate filter effects. These figures supplement the main analysis and do not establish physiological fatigue.</w:t>
      </w:r>
    </w:p>
    <w:p>
      <w:pPr>
        <w:keepNext/>
        <w:widowControl/>
        <w:spacing w:after="80"/>
      </w:pPr>
      <w:r>
        <w:rPr>
          <w:rFonts w:ascii="Arial" w:hAnsi="Arial"/>
          <w:b/>
          <w:i w:val="0"/>
          <w:sz w:val="17"/>
        </w:rPr>
        <w:t>Figure A1. Side-stratified RMS, MDF and MNF trajectories across normalized recording time. Bands are participant-bootstrap intervals; the first time decile is not a fatigue-free baseline.</w:t>
      </w:r>
    </w:p>
    <w:p>
      <w:pPr>
        <w:widowControl/>
        <w:spacing w:after="120"/>
        <w:jc w:val="center"/>
      </w:pPr>
      <w:r>
        <w:drawing>
          <wp:inline xmlns:a="http://schemas.openxmlformats.org/drawingml/2006/main" xmlns:pic="http://schemas.openxmlformats.org/drawingml/2006/picture">
            <wp:extent cx="5440680" cy="2055368"/>
            <wp:docPr id="7" name="Picture 7"/>
            <wp:cNvGraphicFramePr>
              <a:graphicFrameLocks noChangeAspect="1"/>
            </wp:cNvGraphicFramePr>
            <a:graphic>
              <a:graphicData uri="http://schemas.openxmlformats.org/drawingml/2006/picture">
                <pic:pic>
                  <pic:nvPicPr>
                    <pic:cNvPr id="0" name="BILATERAL_FEATURE_TRAJECTORIES_F31_20261018.png"/>
                    <pic:cNvPicPr/>
                  </pic:nvPicPr>
                  <pic:blipFill>
                    <a:blip r:embed="rId12"/>
                    <a:stretch>
                      <a:fillRect/>
                    </a:stretch>
                  </pic:blipFill>
                  <pic:spPr>
                    <a:xfrm>
                      <a:off x="0" y="0"/>
                      <a:ext cx="5440680" cy="2055368"/>
                    </a:xfrm>
                    <a:prstGeom prst="rect"/>
                  </pic:spPr>
                </pic:pic>
              </a:graphicData>
            </a:graphic>
          </wp:inline>
        </w:drawing>
      </w:r>
    </w:p>
    <w:p>
      <w:pPr>
        <w:keepNext/>
        <w:widowControl/>
        <w:spacing w:after="80"/>
      </w:pPr>
      <w:r>
        <w:rPr>
          <w:rFonts w:ascii="Arial" w:hAnsi="Arial"/>
          <w:b/>
          <w:i w:val="0"/>
          <w:sz w:val="17"/>
        </w:rPr>
        <w:t>Figure A2. Candidate-filter magnitude and phase responses, including one-pass and forward–backward IIR behavior. The plot is the designed digital response, not a measured clean-signal reference.</w:t>
      </w:r>
    </w:p>
    <w:p>
      <w:pPr>
        <w:widowControl/>
        <w:spacing w:after="120"/>
        <w:jc w:val="center"/>
      </w:pPr>
      <w:r>
        <w:drawing>
          <wp:inline xmlns:a="http://schemas.openxmlformats.org/drawingml/2006/main" xmlns:pic="http://schemas.openxmlformats.org/drawingml/2006/picture">
            <wp:extent cx="5440680" cy="4412996"/>
            <wp:docPr id="9" name="Picture 9"/>
            <wp:cNvGraphicFramePr>
              <a:graphicFrameLocks noChangeAspect="1"/>
            </wp:cNvGraphicFramePr>
            <a:graphic>
              <a:graphicData uri="http://schemas.openxmlformats.org/drawingml/2006/picture">
                <pic:pic>
                  <pic:nvPicPr>
                    <pic:cNvPr id="0" name="FILTER_BODE_RESPONSE.png"/>
                    <pic:cNvPicPr/>
                  </pic:nvPicPr>
                  <pic:blipFill>
                    <a:blip r:embed="rId18"/>
                    <a:stretch>
                      <a:fillRect/>
                    </a:stretch>
                  </pic:blipFill>
                  <pic:spPr>
                    <a:xfrm>
                      <a:off x="0" y="0"/>
                      <a:ext cx="5440680" cy="4412996"/>
                    </a:xfrm>
                    <a:prstGeom prst="rect"/>
                  </pic:spPr>
                </pic:pic>
              </a:graphicData>
            </a:graphic>
          </wp:inline>
        </w:drawing>
      </w:r>
    </w:p>
    <w:p>
      <w:pPr>
        <w:keepNext/>
        <w:widowControl/>
        <w:spacing w:after="80"/>
      </w:pPr>
      <w:r>
        <w:rPr>
          <w:rFonts w:ascii="Arial" w:hAnsi="Arial"/>
          <w:b/>
          <w:i w:val="0"/>
          <w:sz w:val="17"/>
        </w:rPr>
        <w:t>Figure A3. Quantitative change in RMS and band power after filtering, summarized by recorded leg. These changes show what the filters alter; they do not estimate SNR or identify a denoising winner.</w:t>
      </w:r>
    </w:p>
    <w:p>
      <w:pPr>
        <w:widowControl/>
        <w:spacing w:after="120"/>
        <w:jc w:val="center"/>
      </w:pPr>
      <w:r>
        <w:drawing>
          <wp:inline xmlns:a="http://schemas.openxmlformats.org/drawingml/2006/main" xmlns:pic="http://schemas.openxmlformats.org/drawingml/2006/picture">
            <wp:extent cx="5440680" cy="4257923"/>
            <wp:docPr id="10" name="Picture 10"/>
            <wp:cNvGraphicFramePr>
              <a:graphicFrameLocks noChangeAspect="1"/>
            </wp:cNvGraphicFramePr>
            <a:graphic>
              <a:graphicData uri="http://schemas.openxmlformats.org/drawingml/2006/picture">
                <pic:pic>
                  <pic:nvPicPr>
                    <pic:cNvPr id="0" name="FILTER_EFFECTS_BY_LEG.png"/>
                    <pic:cNvPicPr/>
                  </pic:nvPicPr>
                  <pic:blipFill>
                    <a:blip r:embed="rId19"/>
                    <a:stretch>
                      <a:fillRect/>
                    </a:stretch>
                  </pic:blipFill>
                  <pic:spPr>
                    <a:xfrm>
                      <a:off x="0" y="0"/>
                      <a:ext cx="5440680" cy="4257923"/>
                    </a:xfrm>
                    <a:prstGeom prst="rect"/>
                  </pic:spPr>
                </pic:pic>
              </a:graphicData>
            </a:graphic>
          </wp:inline>
        </w:drawing>
      </w:r>
    </w:p>
    <w:p>
      <w:pPr>
        <w:widowControl/>
        <w:spacing w:after="80"/>
      </w:pPr>
      <w:r>
        <w:rPr>
          <w:rFonts w:ascii="Arial" w:hAnsi="Arial"/>
          <w:b w:val="0"/>
          <w:i w:val="0"/>
          <w:sz w:val="17"/>
        </w:rPr>
        <w:t>Reference filter coefficient arrays at 1 kHz are supplied in COEFICIENTES_REFERENCIA_FILTROS_F31_fs1000Hz.csv. The benchmark recomputed the coefficients from each contiguous run’s timestamp-derived sampling rate; the CSV is a reproducible design reference, not a substitute for those run-specific arrays.</w:t>
      </w:r>
    </w:p>
    <w:p>
      <w:pPr>
        <w:pageBreakBefore w:val="0"/>
        <w:spacing w:after="40"/>
      </w:pPr>
    </w:p>
    <w:p>
      <w:pPr>
        <w:pageBreakBefore w:val="0"/>
        <w:spacing w:after="120" w:before="0"/>
        <w:jc w:val="both"/>
      </w:pPr>
    </w:p>
    <w:p>
      <w:pPr>
        <w:pStyle w:val="Heading1"/>
        <w:keepNext/>
        <w:pageBreakBefore w:val="0"/>
        <w:spacing w:before="280" w:after="120"/>
      </w:pPr>
      <w:r>
        <w:rPr>
          <w:rFonts w:ascii="Arial" w:hAnsi="Arial"/>
          <w:b/>
          <w:color w:val="1F3B63"/>
          <w:sz w:val="30"/>
        </w:rPr>
        <w:t>Appendix B - Full feature list</w:t>
      </w:r>
    </w:p>
    <w:p>
      <w:pPr>
        <w:pageBreakBefore w:val="0"/>
        <w:widowControl/>
        <w:spacing w:after="40"/>
      </w:pPr>
      <w:r>
        <w:t>Appendix B enumerates all 31 model descriptors and the seven feature-family combinations. Units and operational definitions are summarized in Table V. These candidate predictors are not validated fatigue markers.</w:t>
      </w:r>
    </w:p>
    <w:p>
      <w:pPr>
        <w:widowControl/>
        <w:spacing w:after="80"/>
      </w:pPr>
      <w:r>
        <w:rPr>
          <w:rFonts w:ascii="Arial" w:hAnsi="Arial"/>
          <w:b w:val="0"/>
          <w:i w:val="0"/>
          <w:sz w:val="17"/>
        </w:rPr>
        <w:t>Time-domain (15): adc_mean, adc_sd_population, adc_rms, adc_mean_absolute, adc_median, adc_median_absolute, adc_p05, adc_p25, adc_p75, adc_p95, adc_peak_to_peak, adc_line_length_mean, adc_median_crossing_rate, adc_skewness_population, adc_excess_kurtosis_population</w:t>
      </w:r>
    </w:p>
    <w:p>
      <w:pPr>
        <w:widowControl/>
        <w:spacing w:after="80"/>
      </w:pPr>
      <w:r>
        <w:rPr>
          <w:rFonts w:ascii="Arial" w:hAnsi="Arial"/>
          <w:b w:val="0"/>
          <w:i w:val="0"/>
          <w:sz w:val="17"/>
        </w:rPr>
        <w:t>Spectral (8): median_frequency_hz, mean_frequency_hz, peak_frequency_hz, spectral_entropy_norm, relative_power_20_60, relative_power_60_150, relative_power_150_250, relative_power_250_400</w:t>
      </w:r>
    </w:p>
    <w:p>
      <w:pPr>
        <w:widowControl/>
        <w:spacing w:after="80"/>
      </w:pPr>
      <w:r>
        <w:rPr>
          <w:rFonts w:ascii="Arial" w:hAnsi="Arial"/>
          <w:b w:val="0"/>
          <w:i w:val="0"/>
          <w:sz w:val="17"/>
        </w:rPr>
        <w:t>Between-window IQR (8): rms_iqr, median_frequency_iqr_hz, mean_frequency_iqr_hz, spectral_entropy_iqr_norm, relative_power_iqr_20_60, relative_power_iqr_60_150, relative_power_iqr_150_250, relative_power_iqr_250_400</w:t>
      </w:r>
    </w:p>
    <w:p>
      <w:pPr>
        <w:widowControl/>
        <w:spacing w:after="80"/>
      </w:pPr>
      <w:r>
        <w:rPr>
          <w:rFonts w:ascii="Arial" w:hAnsi="Arial"/>
          <w:b w:val="0"/>
          <w:i w:val="0"/>
          <w:sz w:val="17"/>
        </w:rPr>
        <w:t>The seven combinations are time, frequency, between-window variability and the three pairwise combinations plus all three. The two-feature RMS+MDF baselines are separate specialist representations. All feature-family selection remained within grouped inner folds.</w:t>
      </w:r>
    </w:p>
    <w:p>
      <w:pPr>
        <w:pageBreakBefore w:val="0"/>
        <w:spacing w:after="40"/>
      </w:pPr>
    </w:p>
    <w:p>
      <w:pPr>
        <w:pageBreakBefore w:val="0"/>
        <w:spacing w:after="120" w:before="0"/>
        <w:jc w:val="both"/>
      </w:pPr>
    </w:p>
    <w:p>
      <w:pPr>
        <w:pStyle w:val="Heading1"/>
        <w:keepNext/>
        <w:pageBreakBefore w:val="0"/>
        <w:spacing w:before="280" w:after="120"/>
      </w:pPr>
      <w:r>
        <w:rPr>
          <w:rFonts w:ascii="Arial" w:hAnsi="Arial"/>
          <w:b/>
          <w:color w:val="1F3B63"/>
          <w:sz w:val="30"/>
        </w:rPr>
        <w:t>Appendix C - Repository map</w:t>
      </w:r>
    </w:p>
    <w:p>
      <w:pPr>
        <w:pageBreakBefore w:val="0"/>
        <w:widowControl/>
        <w:spacing w:after="40"/>
      </w:pPr>
      <w:r>
        <w:t>The repository map below identifies the analysis code, aggregate outputs, report figures and project-tracking files. Private row-level predictions and original EMG recordings are not embedded in the report.</w:t>
      </w:r>
    </w:p>
    <w:p>
      <w:pPr>
        <w:widowControl/>
        <w:spacing w:after="80"/>
      </w:pPr>
      <w:r>
        <w:rPr>
          <w:rFonts w:ascii="Arial" w:hAnsi="Arial"/>
          <w:b w:val="0"/>
          <w:i w:val="0"/>
          <w:sz w:val="17"/>
        </w:rPr>
        <w:t>datasets/codigo_local/ — signal QC, filters, temporal labels, feature extraction, nested model search, ablation and verification scripts.</w:t>
      </w:r>
    </w:p>
    <w:p>
      <w:pPr>
        <w:widowControl/>
        <w:spacing w:after="80"/>
      </w:pPr>
      <w:r>
        <w:rPr>
          <w:rFonts w:ascii="Arial" w:hAnsi="Arial"/>
          <w:b w:val="0"/>
          <w:i w:val="0"/>
          <w:sz w:val="17"/>
        </w:rPr>
        <w:t>datasets/derivados/ — aggregate-only QC, model/family/filter metrics, confusion matrices, trend estimates and feature-ablation summaries.</w:t>
      </w:r>
    </w:p>
    <w:p>
      <w:pPr>
        <w:widowControl/>
        <w:spacing w:after="80"/>
      </w:pPr>
      <w:r>
        <w:rPr>
          <w:rFonts w:ascii="Arial" w:hAnsi="Arial"/>
          <w:b w:val="0"/>
          <w:i w:val="0"/>
          <w:sz w:val="17"/>
        </w:rPr>
        <w:t>articulo/figuras/reporte_F31_20261018/ — aggregate model comparison, ROC/confusion and bilateral trajectory plots; no individual participant plot is included.</w:t>
      </w:r>
    </w:p>
    <w:p>
      <w:pPr>
        <w:widowControl/>
        <w:spacing w:after="80"/>
      </w:pPr>
      <w:r>
        <w:rPr>
          <w:rFonts w:ascii="Arial" w:hAnsi="Arial"/>
          <w:b w:val="0"/>
          <w:i w:val="0"/>
          <w:sz w:val="17"/>
        </w:rPr>
        <w:t>articulo/gestion/ — phase log, decisions, claim/compliance matrices, audit notes, receipts and reproducibility workbook.</w:t>
      </w:r>
    </w:p>
    <w:p>
      <w:pPr>
        <w:widowControl/>
        <w:spacing w:after="80"/>
      </w:pPr>
      <w:r>
        <w:rPr>
          <w:rFonts w:ascii="Arial" w:hAnsi="Arial"/>
          <w:b w:val="0"/>
          <w:i w:val="0"/>
          <w:sz w:val="17"/>
        </w:rPr>
        <w:t>articulo/entregables/ — F31 IEEE report, source manuscript and reference filter coefficient CSV. Private row-level out-of-fold outputs remain in local application data and are not embedded in the report.</w:t>
      </w:r>
    </w:p>
    <w:p>
      <w:pPr>
        <w:pageBreakBefore w:val="0"/>
        <w:spacing w:after="40"/>
      </w:pPr>
    </w:p>
    <w:p>
      <w:pPr>
        <w:pageBreakBefore w:val="0"/>
        <w:spacing w:after="40"/>
      </w:pPr>
    </w:p>
    <w:p>
      <w:pPr>
        <w:pageBreakBefore w:val="0"/>
        <w:spacing w:after="120" w:before="0"/>
        <w:jc w:val="both"/>
      </w:pPr>
    </w:p>
    <w:sectPr w:rsidR="00FC693F" w:rsidRPr="0006063C" w:rsidSect="00034616">
      <w:headerReference w:type="default" r:id="rId9"/>
      <w:footerReference w:type="default" r:id="rId10"/>
      <w:pgSz w:w="11909" w:h="16834"/>
      <w:pgMar w:top="1872" w:right="1368" w:bottom="2088" w:left="1368" w:header="288" w:footer="194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173" w:val="right"/>
      </w:tabs>
      <w:spacing w:after="0"/>
      <w:jc w:val="left"/>
    </w:pPr>
    <w:r>
      <w:rPr>
        <w:color w:val="444444"/>
        <w:sz w:val="16"/>
      </w:rPr>
      <w:t>Integrative Project - Report Template</w:t>
      <w:tab/>
    </w:r>
    <w:r>
      <w:rPr>
        <w:color w:val="444444"/>
        <w:sz w:val="16"/>
      </w:rPr>
      <w:t xml:space="preserve">Page </w:t>
    </w:r>
    <w:r>
      <w:rPr>
        <w:sz w:val="16"/>
      </w:rPr>
      <w:fldChar w:fldCharType="begin"/>
    </w:r>
    <w:r>
      <w:rPr>
        <w:sz w:val="16"/>
      </w:rPr>
      <w:instrText xml:space="preserve"> PAGE </w:instrText>
    </w:r>
    <w:r>
      <w:rPr>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drawing>
        <wp:anchor distT="0" distB="0" distL="0" distR="0" simplePos="0" relativeHeight="251658240" behindDoc="1" locked="0" layoutInCell="1" allowOverlap="1">
          <wp:simplePos x="0" y="0"/>
          <wp:positionH relativeFrom="page">
            <wp:posOffset>0</wp:posOffset>
          </wp:positionH>
          <wp:positionV relativeFrom="page">
            <wp:posOffset>0</wp:posOffset>
          </wp:positionV>
          <wp:extent cx="7284459" cy="10277959"/>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letterhead.jpeg"/>
                  <pic:cNvPicPr/>
                </pic:nvPicPr>
                <pic:blipFill>
                  <a:blip r:embed="rId1"/>
                  <a:stretch>
                    <a:fillRect/>
                  </a:stretch>
                </pic:blipFill>
                <pic:spPr>
                  <a:xfrm>
                    <a:off x="0" y="0"/>
                    <a:ext cx="7284459" cy="10277959"/>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ns0:Relationships xmlns:ns0="http://schemas.openxmlformats.org/package/2006/relationships"><ns0:Relationship Id="rId3" Type="http://schemas.openxmlformats.org/officeDocument/2006/relationships/styles" Target="styles.xml" /><ns0:Relationship Id="rId4" Type="http://schemas.microsoft.com/office/2007/relationships/stylesWithEffects" Target="stylesWithEffects.xml" /><ns0:Relationship Id="rId5" Type="http://schemas.openxmlformats.org/officeDocument/2006/relationships/settings" Target="settings.xml" /><ns0:Relationship Id="rId6" Type="http://schemas.openxmlformats.org/officeDocument/2006/relationships/webSettings" Target="webSettings.xml" /><ns0:Relationship Id="rId7" Type="http://schemas.openxmlformats.org/officeDocument/2006/relationships/fontTable" Target="fontTable.xml" /><ns0:Relationship Id="rId8" Type="http://schemas.openxmlformats.org/officeDocument/2006/relationships/theme" Target="theme/theme1.xml" /><ns0:Relationship Id="rId1" Type="http://schemas.openxmlformats.org/officeDocument/2006/relationships/customXml" Target="../customXml/item1.xml" /><ns0:Relationship Id="rId2" Type="http://schemas.openxmlformats.org/officeDocument/2006/relationships/numbering" Target="numbering.xml" /><ns0:Relationship Id="rId9" Type="http://schemas.openxmlformats.org/officeDocument/2006/relationships/header" Target="header1.xml" /><ns0:Relationship Id="rId10" Type="http://schemas.openxmlformats.org/officeDocument/2006/relationships/footer" Target="footer1.xml" /><ns0:Relationship Id="rId12" Type="http://schemas.openxmlformats.org/officeDocument/2006/relationships/image" Target="media/image3.png" /><ns0:Relationship Id="rId13" Type="http://schemas.openxmlformats.org/officeDocument/2006/relationships/image" Target="media/image4.png" /><ns0:Relationship Id="rId14" Type="http://schemas.openxmlformats.org/officeDocument/2006/relationships/image" Target="media/image5.png" /><ns0:Relationship Id="rId16" Type="http://schemas.openxmlformats.org/officeDocument/2006/relationships/image" Target="media/image7.png" /><ns0:Relationship Id="rId18" Type="http://schemas.openxmlformats.org/officeDocument/2006/relationships/image" Target="media/image9.png" /><ns0:Relationship Id="rId19" Type="http://schemas.openxmlformats.org/officeDocument/2006/relationships/image" Target="media/image10.png" /></ns0: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Public aggregate EMG comparison report (F31)</dc:title>
  <dc:subject>Aggregate-only report for temporal-proxy evaluation</dc:subject>
  <dc:creator/>
  <cp:keywords/>
  <dc:description/>
  <cp:lastModifiedBy/>
  <cp:revision>1</cp:revision>
  <dcterms:created xsi:type="dcterms:W3CDTF">2013-12-23T23:15:00Z</dcterms:created>
  <dcterms:modified xsi:type="dcterms:W3CDTF">2013-12-23T23:15:00Z</dcterms:modified>
  <cp:category/>
</cp:coreProperties>
</file>