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00" w:after="200"/>
        <w:jc w:val="center"/>
        <w:rPr>
          <w:rFonts w:ascii="Arial" w:hAnsi="Arial"/>
        </w:rPr>
      </w:pPr>
      <w:r>
        <w:rPr/>
        <w:drawing>
          <wp:inline distT="0" distB="0" distL="0" distR="0">
            <wp:extent cx="1809750" cy="12858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jc w:val="center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333333"/>
          <w:sz w:val="20"/>
          <w:szCs w:val="20"/>
        </w:rPr>
        <w:t>CENTRO UNIVERSITÁRIO LEONARDO DA VINCI — UNIASSELVI</w:t>
      </w:r>
    </w:p>
    <w:p>
      <w:pPr>
        <w:pStyle w:val="Normal"/>
        <w:spacing w:before="0" w:after="600"/>
        <w:jc w:val="center"/>
        <w:rPr>
          <w:rFonts w:ascii="Arial" w:hAnsi="Arial"/>
        </w:rPr>
      </w:pPr>
      <w:r>
        <w:rPr>
          <w:rFonts w:eastAsia="Calibri" w:cs="Calibri" w:ascii="Arial" w:hAnsi="Arial"/>
          <w:color w:val="5A5A5A"/>
          <w:sz w:val="20"/>
          <w:szCs w:val="20"/>
        </w:rPr>
        <w:t>Engenharia de Software — 7º período</w:t>
      </w:r>
    </w:p>
    <w:p>
      <w:pPr>
        <w:pStyle w:val="Normal"/>
        <w:spacing w:before="0" w:after="120"/>
        <w:jc w:val="center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A59A"/>
          <w:sz w:val="30"/>
          <w:szCs w:val="30"/>
        </w:rPr>
        <w:t>Experiência Profissional: Desenvolvimento de Aplicações</w:t>
      </w:r>
    </w:p>
    <w:p>
      <w:pPr>
        <w:pStyle w:val="Normal"/>
        <w:spacing w:before="0" w:after="700"/>
        <w:jc w:val="center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695F"/>
          <w:sz w:val="40"/>
          <w:szCs w:val="40"/>
        </w:rPr>
        <w:t>Termo de Referência — Modelo Padrão</w:t>
      </w:r>
    </w:p>
    <w:p>
      <w:pPr>
        <w:pStyle w:val="Normal"/>
        <w:spacing w:before="0" w:after="100"/>
        <w:jc w:val="center"/>
        <w:rPr>
          <w:rFonts w:ascii="Arial" w:hAnsi="Arial"/>
        </w:rPr>
      </w:pPr>
      <w:r>
        <w:rPr>
          <w:rFonts w:eastAsia="Calibri" w:cs="Calibri" w:ascii="Arial" w:hAnsi="Arial"/>
          <w:color w:val="5A5A5A"/>
          <w:sz w:val="22"/>
          <w:szCs w:val="22"/>
        </w:rPr>
        <w:t>Modelo em branco para preenchimento · Versão comentada pelo professor · Devolutiva da Atividade 1</w:t>
      </w:r>
    </w:p>
    <w:p>
      <w:pPr>
        <w:pStyle w:val="Normal"/>
        <w:spacing w:before="900" w:after="40"/>
        <w:jc w:val="center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333333"/>
          <w:sz w:val="22"/>
          <w:szCs w:val="22"/>
        </w:rPr>
        <w:t>Prof. Evaldo A. Oliveira</w:t>
      </w:r>
    </w:p>
    <w:p>
      <w:pPr>
        <w:pStyle w:val="Normal"/>
        <w:spacing w:before="0" w:after="40"/>
        <w:jc w:val="center"/>
        <w:rPr>
          <w:rFonts w:ascii="Arial" w:hAnsi="Arial"/>
        </w:rPr>
      </w:pPr>
      <w:r>
        <w:rPr>
          <w:rFonts w:eastAsia="Calibri" w:cs="Calibri" w:ascii="Arial" w:hAnsi="Arial"/>
          <w:color w:val="5A5A5A"/>
          <w:sz w:val="20"/>
          <w:szCs w:val="20"/>
        </w:rPr>
        <w:t>Carga horária total: 80 horas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pBdr>
          <w:bottom w:val="single" w:sz="8" w:space="6" w:color="FFDA1A"/>
        </w:pBdr>
        <w:spacing w:before="0" w:after="200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695F"/>
          <w:sz w:val="32"/>
          <w:szCs w:val="32"/>
        </w:rPr>
        <w:t>Como usar este documento</w:t>
      </w:r>
    </w:p>
    <w:p>
      <w:pPr>
        <w:pStyle w:val="Normal"/>
        <w:spacing w:lineRule="auto" w:line="276" w:before="57" w:after="140"/>
        <w:jc w:val="both"/>
        <w:rPr>
          <w:rFonts w:ascii="Arial" w:hAnsi="Arial"/>
        </w:rPr>
      </w:pPr>
      <w:r>
        <w:rPr>
          <w:rFonts w:eastAsia="Calibri" w:cs="Calibri" w:ascii="Arial" w:hAnsi="Arial"/>
          <w:color w:val="333333"/>
          <w:sz w:val="22"/>
          <w:szCs w:val="22"/>
        </w:rPr>
        <w:t>Este é o modelo padrão de termo de referência da disciplina, já preenchido com o conteúdo que você entregou na Atividade 1. O que estava adequado foi mantido, apenas reorganizado na estrutura das sete seções. O que faltava aparece como campo a preencher.</w:t>
      </w:r>
    </w:p>
    <w:p>
      <w:pPr>
        <w:pStyle w:val="Normal"/>
        <w:spacing w:lineRule="auto" w:line="276" w:before="57" w:after="140"/>
        <w:jc w:val="both"/>
        <w:rPr>
          <w:rFonts w:ascii="Arial" w:hAnsi="Arial"/>
        </w:rPr>
      </w:pPr>
      <w:r>
        <w:rPr>
          <w:rFonts w:eastAsia="Calibri" w:cs="Calibri" w:ascii="Arial" w:hAnsi="Arial"/>
          <w:color w:val="333333"/>
          <w:sz w:val="22"/>
          <w:szCs w:val="22"/>
        </w:rPr>
        <w:t>Ao longo do documento há caixas coloridas com os comentários do professor. Elas não fazem parte do termo: remova todas antes de entregar a versão 1.1.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2000"/>
        <w:gridCol w:w="4560"/>
        <w:gridCol w:w="280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Caixa</w:t>
            </w:r>
          </w:p>
        </w:tc>
        <w:tc>
          <w:tcPr>
            <w:tcW w:w="45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28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</w:tr>
      <w:tr>
        <w:trPr/>
        <w:tc>
          <w:tcPr>
            <w:tcW w:w="20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CONFORME</w:t>
            </w:r>
          </w:p>
        </w:tc>
        <w:tc>
          <w:tcPr>
            <w:tcW w:w="45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A seção atende ao item correspondente da ficha de verificação</w:t>
            </w:r>
          </w:p>
        </w:tc>
        <w:tc>
          <w:tcPr>
            <w:tcW w:w="28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Nada. Apenas remova a caixa</w:t>
            </w:r>
          </w:p>
        </w:tc>
      </w:tr>
      <w:tr>
        <w:trPr/>
        <w:tc>
          <w:tcPr>
            <w:tcW w:w="20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AJUSTAR</w:t>
            </w:r>
          </w:p>
        </w:tc>
        <w:tc>
          <w:tcPr>
            <w:tcW w:w="45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A seção existe, mas precisa de correção pontual</w:t>
            </w:r>
          </w:p>
        </w:tc>
        <w:tc>
          <w:tcPr>
            <w:tcW w:w="28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Corrigir o que está indicado e remover a caixa</w:t>
            </w:r>
          </w:p>
        </w:tc>
      </w:tr>
      <w:tr>
        <w:trPr/>
        <w:tc>
          <w:tcPr>
            <w:tcW w:w="20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A ESCREVER</w:t>
            </w:r>
          </w:p>
        </w:tc>
        <w:tc>
          <w:tcPr>
            <w:tcW w:w="45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A seção não foi entregue e é obrigatória</w:t>
            </w:r>
          </w:p>
        </w:tc>
        <w:tc>
          <w:tcPr>
            <w:tcW w:w="28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Escrever o conteúdo no espaço reservado</w:t>
            </w:r>
          </w:p>
        </w:tc>
      </w:tr>
      <w:tr>
        <w:trPr/>
        <w:tc>
          <w:tcPr>
            <w:tcW w:w="20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PROPOSTA DO PROFESSOR</w:t>
            </w:r>
          </w:p>
        </w:tc>
        <w:tc>
          <w:tcPr>
            <w:tcW w:w="45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Conteúdo pré-preenchido a partir do seu escopo, para servir de ponto de partida</w:t>
            </w:r>
          </w:p>
        </w:tc>
        <w:tc>
          <w:tcPr>
            <w:tcW w:w="28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Revisar, corrigir e completar. Não entregue como está</w:t>
            </w:r>
          </w:p>
        </w:tc>
      </w:tr>
    </w:tbl>
    <w:p>
      <w:pPr>
        <w:pStyle w:val="Normal"/>
        <w:spacing w:lineRule="auto" w:line="276" w:before="0" w:after="200"/>
        <w:jc w:val="both"/>
        <w:rPr>
          <w:rFonts w:ascii="Arial" w:hAnsi="Arial"/>
        </w:rPr>
      </w:pPr>
      <w:r>
        <w:rPr>
          <w:rFonts w:eastAsia="Calibri" w:cs="Calibri" w:ascii="Arial" w:hAnsi="Arial"/>
          <w:color w:val="333333"/>
          <w:sz w:val="22"/>
          <w:szCs w:val="22"/>
        </w:rPr>
        <w:t>Situação desta entrega: modelo em branco — as caixas coloridas orientam o preenchimento de cada seção. Prazo para a versão 1.1: início da Aula 4, junto com a Entrega E1.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pBdr>
          <w:bottom w:val="single" w:sz="8" w:space="6" w:color="FFDA1A"/>
        </w:pBdr>
        <w:spacing w:before="0" w:after="200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695F"/>
          <w:sz w:val="32"/>
          <w:szCs w:val="32"/>
        </w:rPr>
        <w:t>1. Identificação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2500"/>
        <w:gridCol w:w="68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>
        <w:trPr/>
        <w:tc>
          <w:tcPr>
            <w:tcW w:w="25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Nome do projeto</w:t>
            </w:r>
          </w:p>
        </w:tc>
        <w:tc>
          <w:tcPr>
            <w:tcW w:w="68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Aplicativo de Detecção de Tentativas de Phishing por Correio Eletrônico (E-mail)</w:t>
            </w:r>
          </w:p>
        </w:tc>
      </w:tr>
      <w:tr>
        <w:trPr/>
        <w:tc>
          <w:tcPr>
            <w:tcW w:w="25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Solicitante</w:t>
            </w:r>
          </w:p>
        </w:tc>
        <w:tc>
          <w:tcPr>
            <w:tcW w:w="68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9" w:before="0" w:after="60"/>
              <w:jc w:val="both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Levantamento feito a partir de contexto observado</w:t>
            </w:r>
          </w:p>
        </w:tc>
      </w:tr>
      <w:tr>
        <w:trPr/>
        <w:tc>
          <w:tcPr>
            <w:tcW w:w="25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Equipe executora e papéis</w:t>
            </w:r>
          </w:p>
        </w:tc>
        <w:tc>
          <w:tcPr>
            <w:tcW w:w="68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Ethan Buttazzi – Projetista, Pesquisador e Executor </w:t>
            </w:r>
          </w:p>
        </w:tc>
      </w:tr>
      <w:tr>
        <w:trPr/>
        <w:tc>
          <w:tcPr>
            <w:tcW w:w="25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Data de emissão</w:t>
            </w:r>
          </w:p>
        </w:tc>
        <w:tc>
          <w:tcPr>
            <w:tcW w:w="68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01/09/2026</w:t>
            </w:r>
          </w:p>
        </w:tc>
      </w:tr>
      <w:tr>
        <w:trPr/>
        <w:tc>
          <w:tcPr>
            <w:tcW w:w="25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Versão</w:t>
            </w:r>
          </w:p>
        </w:tc>
        <w:tc>
          <w:tcPr>
            <w:tcW w:w="68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1.0</w:t>
            </w:r>
          </w:p>
        </w:tc>
      </w:tr>
      <w:tr>
        <w:trPr/>
        <w:tc>
          <w:tcPr>
            <w:tcW w:w="25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Vínculo acadêmico</w:t>
            </w:r>
          </w:p>
        </w:tc>
        <w:tc>
          <w:tcPr>
            <w:tcW w:w="68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Trabalho de Conclusão de Curso — Engenharia de Software — 7º período — UNIASSELVI</w:t>
            </w:r>
          </w:p>
        </w:tc>
      </w:tr>
    </w:tbl>
    <w:p>
      <w:pPr>
        <w:pStyle w:val="Heading1"/>
        <w:pBdr>
          <w:bottom w:val="single" w:sz="8" w:space="6" w:color="FFDA1A"/>
        </w:pBdr>
        <w:spacing w:before="360" w:after="200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695F"/>
          <w:sz w:val="32"/>
          <w:szCs w:val="32"/>
        </w:rPr>
        <w:t>2. Contexto e Justificativa</w:t>
      </w:r>
    </w:p>
    <w:p>
      <w:pPr>
        <w:pStyle w:val="BodyText"/>
        <w:spacing w:lineRule="auto" w:line="276" w:before="0" w:after="140"/>
        <w:jc w:val="both"/>
        <w:rPr>
          <w:rFonts w:ascii="Arial" w:hAnsi="Arial" w:eastAsia="Calibri" w:cs="Calibri"/>
          <w:color w:val="333333"/>
          <w:sz w:val="22"/>
          <w:szCs w:val="22"/>
        </w:rPr>
      </w:pPr>
      <w:r>
        <w:rPr>
          <w:rFonts w:eastAsia="Calibri" w:cs="Calibri" w:ascii="Arial" w:hAnsi="Arial"/>
          <w:color w:val="333333"/>
          <w:sz w:val="22"/>
          <w:szCs w:val="22"/>
        </w:rPr>
        <w:t>As facilidades proporcionadas pelo mundo moderno transformaram a comunicação, que passou a ocorrer de forma instantânea e em escala global. Essa agilidade também ampliou a quantidade de informações e oportunidades para a exploração financeira e emocional das pessoas, permitindo que criminosos atuem de praticamente qualquer lugar do mundo. A velocidade e a forma da comunicação mudaram, mas a natureza humana permaneceu essencialmente a mesma. Assim como golpes tradicionais, os golpes digitais exploram medo, urgência, curiosidade, confiança e outras características humanas para induzir suas vítimas a tomar decisões.</w:t>
      </w:r>
    </w:p>
    <w:p>
      <w:pPr>
        <w:pStyle w:val="BodyText"/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>Nesse contexto, pessoas físicas e pequenos empreendedores utilizam serviços de e-mail para atividades cotidianas, como receber e pagar boletos e contas, acompanhar compras, tratar de questões bancárias, trabalhar e manter contato com clientes e fornecedores. Consequentemente, esses usuários estão expostos a mensagens que podem se passar por empresas, instituições e serviços legítimos. Com a evolução das técnicas de phishing, falsificação de remetentes e engenharia social, essas tentativas se tornaram cada vez mais convincentes, dificultando sua identificação.</w:t>
      </w:r>
    </w:p>
    <w:p>
      <w:pPr>
        <w:pStyle w:val="BodyText"/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 xml:space="preserve">A dimensão desse problema também é observada no Brasil. Entre julho de 2024 e julho de 2025, a Kaspersky registrou aproximadamente </w:t>
      </w:r>
      <w:r>
        <w:rPr>
          <w:rStyle w:val="Strong"/>
          <w:rFonts w:ascii="Arial" w:hAnsi="Arial"/>
          <w:b w:val="false"/>
          <w:bCs w:val="false"/>
        </w:rPr>
        <w:t>553 milhões de tentativas de phishing no país</w:t>
      </w:r>
      <w:r>
        <w:rPr>
          <w:rFonts w:ascii="Arial" w:hAnsi="Arial"/>
          <w:b w:val="false"/>
          <w:bCs w:val="false"/>
        </w:rPr>
        <w:t xml:space="preserve">, enquanto pesquisa analisada pelo Banco Central apontou que </w:t>
      </w:r>
      <w:r>
        <w:rPr>
          <w:rStyle w:val="Strong"/>
          <w:rFonts w:ascii="Arial" w:hAnsi="Arial"/>
          <w:b w:val="false"/>
          <w:bCs w:val="false"/>
        </w:rPr>
        <w:t>10% dos entrevistados declararam ter sido vítimas de golpes eletrônicos</w:t>
      </w:r>
      <w:r>
        <w:rPr>
          <w:rFonts w:ascii="Arial" w:hAnsi="Arial"/>
          <w:b w:val="false"/>
          <w:bCs w:val="false"/>
        </w:rPr>
        <w:t>.</w:t>
      </w:r>
      <w:r>
        <w:rPr>
          <w:rFonts w:ascii="Arial" w:hAnsi="Arial"/>
        </w:rPr>
        <w:t xml:space="preserve"> Para pessoas físicas e pequenos empreendedores, uma tentativa bem-sucedida pode resultar no comprometimento de contas, roubo de credenciais, exposição de dados e prejuízos financeiros. Atualmente, esses usuários dependem principalmente dos mecanismos de proteção oferecidos pelo próprio provedor de e-mail e de sua capacidade de reconhecer sinais de fraude.</w:t>
      </w:r>
    </w:p>
    <w:p>
      <w:pPr>
        <w:pStyle w:val="BodyText"/>
        <w:spacing w:lineRule="auto" w:line="276" w:before="0" w:after="140"/>
        <w:jc w:val="both"/>
        <w:rPr>
          <w:rFonts w:ascii="Arial" w:hAnsi="Arial" w:eastAsia="Calibri" w:cs="Calibri"/>
          <w:color w:val="333333"/>
          <w:sz w:val="22"/>
          <w:szCs w:val="22"/>
        </w:rPr>
      </w:pPr>
      <w:r>
        <w:rPr>
          <w:rFonts w:eastAsia="Calibri" w:cs="Calibri" w:ascii="Arial" w:hAnsi="Arial"/>
          <w:color w:val="333333"/>
          <w:sz w:val="22"/>
          <w:szCs w:val="22"/>
        </w:rPr>
      </w:r>
    </w:p>
    <w:p>
      <w:pPr>
        <w:pStyle w:val="BodyText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pBdr>
          <w:bottom w:val="single" w:sz="8" w:space="6" w:color="FFDA1A"/>
        </w:pBdr>
        <w:spacing w:before="360" w:after="200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695F"/>
          <w:sz w:val="32"/>
          <w:szCs w:val="32"/>
        </w:rPr>
        <w:t>3. Objeto e escopo</w:t>
      </w:r>
    </w:p>
    <w:p>
      <w:pPr>
        <w:pStyle w:val="Heading2"/>
        <w:spacing w:before="280" w:after="140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A59A"/>
          <w:sz w:val="26"/>
          <w:szCs w:val="26"/>
        </w:rPr>
        <w:t>3.1 Objetivo</w:t>
      </w:r>
    </w:p>
    <w:p>
      <w:pPr>
        <w:pStyle w:val="Normal"/>
        <w:rPr/>
      </w:pPr>
      <w:r>
        <w:rPr/>
        <w:t>Desenvolver um aplicativo que sinalize prováveis tentativas de phishing recebidas por correio eletrônico.</w:t>
      </w:r>
    </w:p>
    <w:p>
      <w:pPr>
        <w:pStyle w:val="Heading2"/>
        <w:spacing w:before="280" w:after="140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A59A"/>
          <w:sz w:val="26"/>
          <w:szCs w:val="26"/>
        </w:rPr>
        <w:t>3.2 Escopo incluído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700"/>
        <w:gridCol w:w="8660"/>
      </w:tblGrid>
      <w:tr>
        <w:trPr>
          <w:tblHeader w:val="true"/>
        </w:trPr>
        <w:tc>
          <w:tcPr>
            <w:tcW w:w="7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86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Funcionalidade prevista</w:t>
            </w:r>
          </w:p>
        </w:tc>
      </w:tr>
      <w:tr>
        <w:trPr/>
        <w:tc>
          <w:tcPr>
            <w:tcW w:w="7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86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>Rastrear e-mails recebidos c</w:t>
            </w:r>
            <w:r>
              <w:rPr>
                <w:rFonts w:ascii="Arial" w:hAnsi="Arial"/>
                <w:sz w:val="20"/>
                <w:szCs w:val="20"/>
                <w:lang w:val="pt-PT"/>
              </w:rPr>
              <w:t>om hiperlinks incorporados</w:t>
            </w:r>
          </w:p>
        </w:tc>
      </w:tr>
      <w:tr>
        <w:trPr/>
        <w:tc>
          <w:tcPr>
            <w:tcW w:w="7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86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/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Detectar e-mails suspeitos </w:t>
            </w:r>
          </w:p>
        </w:tc>
      </w:tr>
      <w:tr>
        <w:trPr/>
        <w:tc>
          <w:tcPr>
            <w:tcW w:w="7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86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both"/>
              <w:rPr/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Marcar e-mails suspeitos</w:t>
            </w:r>
          </w:p>
        </w:tc>
      </w:tr>
      <w:tr>
        <w:trPr/>
        <w:tc>
          <w:tcPr>
            <w:tcW w:w="7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4</w:t>
            </w:r>
          </w:p>
        </w:tc>
        <w:tc>
          <w:tcPr>
            <w:tcW w:w="86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/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Notificar o usuário sobre e-mails suspeitos</w:t>
            </w:r>
          </w:p>
        </w:tc>
      </w:tr>
      <w:tr>
        <w:trPr/>
        <w:tc>
          <w:tcPr>
            <w:tcW w:w="7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866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both"/>
              <w:rPr/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Criar um relatório sobre os elementos suspeitos do e-mail</w:t>
            </w:r>
          </w:p>
        </w:tc>
      </w:tr>
    </w:tbl>
    <w:p>
      <w:pPr>
        <w:pStyle w:val="Normal"/>
        <w:spacing w:before="0" w:after="1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before="280" w:after="140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A59A"/>
          <w:sz w:val="26"/>
          <w:szCs w:val="26"/>
        </w:rPr>
        <w:t>3.3 Escopo excluído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3394"/>
        <w:gridCol w:w="5966"/>
      </w:tblGrid>
      <w:tr>
        <w:trPr>
          <w:tblHeader w:val="true"/>
        </w:trPr>
        <w:tc>
          <w:tcPr>
            <w:tcW w:w="3394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Item excluído</w:t>
            </w:r>
          </w:p>
        </w:tc>
        <w:tc>
          <w:tcPr>
            <w:tcW w:w="5966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Razão da exclusão</w:t>
            </w:r>
          </w:p>
        </w:tc>
      </w:tr>
      <w:tr>
        <w:trPr/>
        <w:tc>
          <w:tcPr>
            <w:tcW w:w="3394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Interface Gráfica Elaborada</w:t>
            </w:r>
          </w:p>
        </w:tc>
        <w:tc>
          <w:tcPr>
            <w:tcW w:w="5966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O projeto tem como finalidade validar o funcionamento dos serviços mencionados acima, portanto, o desenvolvimento de uma interface elaborada não será contemplado, pois comprometeria o prazo disponível para a entrega. </w:t>
            </w:r>
          </w:p>
        </w:tc>
      </w:tr>
      <w:tr>
        <w:trPr/>
        <w:tc>
          <w:tcPr>
            <w:tcW w:w="3394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Servidor Externo Dedicado</w:t>
            </w:r>
          </w:p>
        </w:tc>
        <w:tc>
          <w:tcPr>
            <w:tcW w:w="5966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utilização de um servidor externo dedicado para armazenamento e disponibilização dos modelos de referência não será contemplada, devido ao orçamento limitado disponível para o projeto. </w:t>
            </w:r>
          </w:p>
        </w:tc>
      </w:tr>
      <w:tr>
        <w:trPr/>
        <w:tc>
          <w:tcPr>
            <w:tcW w:w="3394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 w:eastAsia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Integração com Provedores de Correio Eletrônico</w:t>
            </w:r>
          </w:p>
        </w:tc>
        <w:tc>
          <w:tcPr>
            <w:tcW w:w="5966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A integração com provedores de correio eletrônico, como Gmail e Outlook, não será contemplada, pois a obtenção da cooperação dessas entidades está fora do alcance da equipe executora. Para fins de desenvolvimento, o sistema utilizará uma amostra de padrões manufaturados para avaliação</w:t>
            </w:r>
          </w:p>
        </w:tc>
      </w:tr>
    </w:tbl>
    <w:p>
      <w:pPr>
        <w:pStyle w:val="Normal"/>
        <w:spacing w:before="0" w:after="160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pBdr>
          <w:bottom w:val="single" w:sz="8" w:space="6" w:color="FFDA1A"/>
        </w:pBdr>
        <w:spacing w:before="0" w:after="200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695F"/>
          <w:sz w:val="32"/>
          <w:szCs w:val="32"/>
        </w:rPr>
        <w:t>4. Produtos entregáveis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2895"/>
        <w:gridCol w:w="4665"/>
        <w:gridCol w:w="1800"/>
      </w:tblGrid>
      <w:tr>
        <w:trPr>
          <w:tblHeader w:val="true"/>
        </w:trPr>
        <w:tc>
          <w:tcPr>
            <w:tcW w:w="2895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4665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8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Prazo</w:t>
            </w:r>
          </w:p>
        </w:tc>
      </w:tr>
      <w:tr>
        <w:trPr/>
        <w:tc>
          <w:tcPr>
            <w:tcW w:w="2895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Aplicativo executável</w:t>
            </w:r>
          </w:p>
        </w:tc>
        <w:tc>
          <w:tcPr>
            <w:tcW w:w="4665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Build executável do aplicativo contendo uma base de dados com padrões de teste incorporada</w:t>
            </w:r>
          </w:p>
        </w:tc>
        <w:tc>
          <w:tcPr>
            <w:tcW w:w="18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Aula 14</w:t>
            </w:r>
          </w:p>
        </w:tc>
      </w:tr>
      <w:tr>
        <w:trPr/>
        <w:tc>
          <w:tcPr>
            <w:tcW w:w="2895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Código-fonte</w:t>
            </w:r>
          </w:p>
        </w:tc>
        <w:tc>
          <w:tcPr>
            <w:tcW w:w="4665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Repositório com controle de versão e histórico preservado</w:t>
            </w:r>
          </w:p>
        </w:tc>
        <w:tc>
          <w:tcPr>
            <w:tcW w:w="18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Aula 14</w:t>
            </w:r>
          </w:p>
        </w:tc>
      </w:tr>
      <w:tr>
        <w:trPr/>
        <w:tc>
          <w:tcPr>
            <w:tcW w:w="2895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Especificação de requisitos</w:t>
            </w:r>
          </w:p>
        </w:tc>
        <w:tc>
          <w:tcPr>
            <w:tcW w:w="4665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Documento com requisitos funcionais, não funcionais e matriz de rastreabilidade</w:t>
            </w:r>
          </w:p>
        </w:tc>
        <w:tc>
          <w:tcPr>
            <w:tcW w:w="18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Aula 4</w:t>
            </w:r>
          </w:p>
        </w:tc>
      </w:tr>
      <w:tr>
        <w:trPr/>
        <w:tc>
          <w:tcPr>
            <w:tcW w:w="2895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Documento de arquitetura</w:t>
            </w:r>
          </w:p>
        </w:tc>
        <w:tc>
          <w:tcPr>
            <w:tcW w:w="4665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Camadas, modelo de domínio, estruturas de dados e contratos</w:t>
            </w:r>
          </w:p>
        </w:tc>
        <w:tc>
          <w:tcPr>
            <w:tcW w:w="18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Aula 9</w:t>
            </w:r>
          </w:p>
        </w:tc>
      </w:tr>
      <w:tr>
        <w:trPr/>
        <w:tc>
          <w:tcPr>
            <w:tcW w:w="2895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Plano e resultados de testes</w:t>
            </w:r>
          </w:p>
        </w:tc>
        <w:tc>
          <w:tcPr>
            <w:tcW w:w="4665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Casos de teste, execuções e registro de defeitos</w:t>
            </w:r>
          </w:p>
        </w:tc>
        <w:tc>
          <w:tcPr>
            <w:tcW w:w="18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Aula 14</w:t>
            </w:r>
          </w:p>
        </w:tc>
      </w:tr>
      <w:tr>
        <w:trPr/>
        <w:tc>
          <w:tcPr>
            <w:tcW w:w="2895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Manual de instalação e uso</w:t>
            </w:r>
          </w:p>
        </w:tc>
        <w:tc>
          <w:tcPr>
            <w:tcW w:w="4665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Requisitos de ambiente e instruções de operação</w:t>
            </w:r>
          </w:p>
        </w:tc>
        <w:tc>
          <w:tcPr>
            <w:tcW w:w="18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Aula 14</w:t>
            </w:r>
          </w:p>
        </w:tc>
      </w:tr>
    </w:tbl>
    <w:p>
      <w:pPr>
        <w:pStyle w:val="Normal"/>
        <w:spacing w:before="0" w:after="160"/>
        <w:rPr>
          <w:rFonts w:ascii="Arial" w:hAnsi="Arial"/>
        </w:rPr>
      </w:pPr>
      <w:r>
        <w:rPr>
          <w:rFonts w:ascii="Arial" w:hAnsi="Arial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90" w:type="dxa"/>
          <w:bottom w:w="130" w:type="dxa"/>
          <w:end w:w="19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FFC000"/>
              <w:start w:val="single" w:sz="18" w:space="0" w:color="FFC000"/>
              <w:bottom w:val="single" w:sz="4" w:space="0" w:color="FFC000"/>
              <w:end w:val="single" w:sz="4" w:space="0" w:color="FFC000"/>
            </w:tcBorders>
            <w:shd w:color="auto" w:fill="FFF8D9" w:val="clear"/>
          </w:tcPr>
          <w:p>
            <w:pPr>
              <w:pStyle w:val="Normal"/>
              <w:spacing w:before="0" w:after="80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8A6D00"/>
                <w:spacing w:val="40"/>
                <w:sz w:val="16"/>
                <w:szCs w:val="16"/>
              </w:rPr>
              <w:t>AJUSTAR</w:t>
            </w:r>
          </w:p>
          <w:p>
            <w:pPr>
              <w:pStyle w:val="Normal"/>
              <w:spacing w:lineRule="auto" w:line="259" w:before="0" w:after="60"/>
              <w:jc w:val="both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color w:val="333333"/>
                <w:sz w:val="20"/>
                <w:szCs w:val="20"/>
              </w:rPr>
              <w:t>Item 11 da ficha. Os seis entregáveis abaixo do primeiro são comuns a todos os projetos da disciplina e já vêm com os prazos do cronograma. Preencha apenas a primeira linha com o seu produto e o formato em que ele será demonstrado.</w:t>
            </w:r>
          </w:p>
          <w:p>
            <w:pPr>
              <w:pStyle w:val="Normal"/>
              <w:spacing w:lineRule="auto" w:line="259" w:before="0" w:after="0"/>
              <w:jc w:val="both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color w:val="333333"/>
                <w:sz w:val="20"/>
                <w:szCs w:val="20"/>
              </w:rPr>
              <w:t>Se o seu projeto tiver um artefato próprio — circuito montado, base de validação anotada, conjunto de vídeos de teste —, acrescente-o como sétima linha. Artefato que leva tempo para ser produzido precisa estar previsto desde já.</w:t>
            </w:r>
          </w:p>
        </w:tc>
      </w:tr>
    </w:tbl>
    <w:p>
      <w:pPr>
        <w:pStyle w:val="Heading1"/>
        <w:pBdr>
          <w:bottom w:val="single" w:sz="8" w:space="6" w:color="FFDA1A"/>
        </w:pBdr>
        <w:spacing w:before="360" w:after="200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695F"/>
          <w:sz w:val="32"/>
          <w:szCs w:val="32"/>
        </w:rPr>
        <w:t>5. Critérios de aceitação</w:t>
      </w:r>
    </w:p>
    <w:p>
      <w:pPr>
        <w:pStyle w:val="Normal"/>
        <w:spacing w:lineRule="auto" w:line="276" w:before="0" w:after="140"/>
        <w:jc w:val="both"/>
        <w:rPr>
          <w:rFonts w:ascii="Arial" w:hAnsi="Arial"/>
        </w:rPr>
      </w:pPr>
      <w:r>
        <w:rPr>
          <w:rFonts w:eastAsia="Calibri" w:cs="Calibri" w:ascii="Arial" w:hAnsi="Arial"/>
          <w:color w:val="333333"/>
          <w:sz w:val="22"/>
          <w:szCs w:val="22"/>
        </w:rPr>
        <w:t>Cada produto será considerado aceito quando atender integralmente às condições abaixo, verificáveis por demonstração ou por inspeção documental.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900"/>
        <w:gridCol w:w="4994"/>
        <w:gridCol w:w="3466"/>
      </w:tblGrid>
      <w:tr>
        <w:trPr>
          <w:tblHeader w:val="true"/>
        </w:trPr>
        <w:tc>
          <w:tcPr>
            <w:tcW w:w="9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both"/>
              <w:rPr/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994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both"/>
              <w:rPr/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Critério de aceitação</w:t>
            </w:r>
          </w:p>
        </w:tc>
        <w:tc>
          <w:tcPr>
            <w:tcW w:w="3466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both"/>
              <w:rPr/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Forma de verificação</w:t>
            </w:r>
          </w:p>
        </w:tc>
      </w:tr>
      <w:tr>
        <w:trPr/>
        <w:tc>
          <w:tcPr>
            <w:tcW w:w="9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CA-01</w:t>
            </w:r>
          </w:p>
        </w:tc>
        <w:tc>
          <w:tcPr>
            <w:tcW w:w="4994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aplicativo deve identificar mensagens que contenham hiperlinks. </w:t>
            </w:r>
          </w:p>
        </w:tc>
        <w:tc>
          <w:tcPr>
            <w:tcW w:w="3466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Execução com amostra contendo hiperlinks. </w:t>
            </w:r>
          </w:p>
        </w:tc>
      </w:tr>
      <w:tr>
        <w:trPr/>
        <w:tc>
          <w:tcPr>
            <w:tcW w:w="9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CA-02</w:t>
            </w:r>
          </w:p>
        </w:tc>
        <w:tc>
          <w:tcPr>
            <w:tcW w:w="4994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aplicativo deve sinalizar mensagens identificadas como suspeitas. </w:t>
            </w:r>
          </w:p>
        </w:tc>
        <w:tc>
          <w:tcPr>
            <w:tcW w:w="3466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Execução com mensagens previamente classificadas. </w:t>
            </w:r>
          </w:p>
        </w:tc>
      </w:tr>
      <w:tr>
        <w:trPr/>
        <w:tc>
          <w:tcPr>
            <w:tcW w:w="9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CA-03</w:t>
            </w:r>
          </w:p>
        </w:tc>
        <w:tc>
          <w:tcPr>
            <w:tcW w:w="4994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aplicativo deve notificar o usuário sobre mensagens suspeitas. </w:t>
            </w:r>
          </w:p>
        </w:tc>
        <w:tc>
          <w:tcPr>
            <w:tcW w:w="3466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Execução e observação da notificação. </w:t>
            </w:r>
          </w:p>
        </w:tc>
      </w:tr>
      <w:tr>
        <w:trPr/>
        <w:tc>
          <w:tcPr>
            <w:tcW w:w="9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CA-04</w:t>
            </w:r>
          </w:p>
        </w:tc>
        <w:tc>
          <w:tcPr>
            <w:tcW w:w="4994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aplicativo deve apresentar os elementos suspeitos identificados na mensagem. </w:t>
            </w:r>
          </w:p>
        </w:tc>
        <w:tc>
          <w:tcPr>
            <w:tcW w:w="3466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Execução e inspeção do relatório gerado. </w:t>
            </w:r>
          </w:p>
        </w:tc>
      </w:tr>
      <w:tr>
        <w:trPr/>
        <w:tc>
          <w:tcPr>
            <w:tcW w:w="9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CA-05</w:t>
            </w:r>
          </w:p>
        </w:tc>
        <w:tc>
          <w:tcPr>
            <w:tcW w:w="4994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O aplicativo deve ignorar mensagens sem hiperlinks</w:t>
            </w:r>
          </w:p>
        </w:tc>
        <w:tc>
          <w:tcPr>
            <w:tcW w:w="3466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Execução com mensagens legítimas da amostra. </w:t>
            </w:r>
          </w:p>
        </w:tc>
      </w:tr>
      <w:tr>
        <w:trPr/>
        <w:tc>
          <w:tcPr>
            <w:tcW w:w="900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CA-06</w:t>
            </w:r>
          </w:p>
        </w:tc>
        <w:tc>
          <w:tcPr>
            <w:tcW w:w="4994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aplicativo deve impedir a análise quando a senha de aplicativo não estiver configurada. </w:t>
            </w:r>
          </w:p>
        </w:tc>
        <w:tc>
          <w:tcPr>
            <w:tcW w:w="3466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Execução sem senha de aplicativo configurada. </w:t>
            </w:r>
          </w:p>
        </w:tc>
      </w:tr>
      <w:tr>
        <w:trPr/>
        <w:tc>
          <w:tcPr>
            <w:tcW w:w="900" w:type="dxa"/>
            <w:tcBorders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CA-07 </w:t>
            </w:r>
          </w:p>
        </w:tc>
        <w:tc>
          <w:tcPr>
            <w:tcW w:w="4994" w:type="dxa"/>
            <w:tcBorders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Style w:val="Strong"/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aplicativo deve analisar cada mensagem em até 10 segundos após seu recebimento. </w:t>
            </w: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3466" w:type="dxa"/>
            <w:tcBorders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Execução com medição do tempo de processamento. </w:t>
            </w:r>
          </w:p>
        </w:tc>
      </w:tr>
      <w:tr>
        <w:trPr/>
        <w:tc>
          <w:tcPr>
            <w:tcW w:w="900" w:type="dxa"/>
            <w:tcBorders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CA-08 </w:t>
            </w:r>
          </w:p>
        </w:tc>
        <w:tc>
          <w:tcPr>
            <w:tcW w:w="4994" w:type="dxa"/>
            <w:tcBorders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 aplicativo deve ser instalado por terceiro seguindo exclusivamente o manual de instalação e uso.</w:t>
            </w:r>
          </w:p>
        </w:tc>
        <w:tc>
          <w:tcPr>
            <w:tcW w:w="3466" w:type="dxa"/>
            <w:tcBorders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F2F4F4" w:val="clear"/>
          </w:tcPr>
          <w:p>
            <w:pPr>
              <w:pStyle w:val="Normal"/>
              <w:spacing w:lineRule="auto" w:line="250" w:before="0" w:after="0"/>
              <w:jc w:val="both"/>
              <w:rPr>
                <w:rFonts w:ascii="Arial" w:hAnsi="Arial" w:eastAsia="Calibri" w:cs="Calibri"/>
                <w:b w:val="false"/>
                <w:bCs w:val="false"/>
                <w:color w:val="333333"/>
                <w:sz w:val="20"/>
                <w:szCs w:val="20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Instalação realizada por um individuo que não participou do desenvolvimento. </w:t>
            </w:r>
          </w:p>
        </w:tc>
      </w:tr>
    </w:tbl>
    <w:p>
      <w:pPr>
        <w:pStyle w:val="Normal"/>
        <w:spacing w:before="0" w:after="1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pBdr>
          <w:bottom w:val="single" w:sz="8" w:space="6" w:color="FFDA1A"/>
        </w:pBdr>
        <w:spacing w:before="0" w:after="200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695F"/>
          <w:sz w:val="32"/>
          <w:szCs w:val="32"/>
        </w:rPr>
        <w:t>6. Restrições e premissas</w:t>
      </w:r>
    </w:p>
    <w:p>
      <w:pPr>
        <w:pStyle w:val="Heading2"/>
        <w:spacing w:before="280" w:after="140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A59A"/>
          <w:sz w:val="26"/>
          <w:szCs w:val="26"/>
        </w:rPr>
        <w:t>6.1 Restrições — limitações impostas, sobre as quais não se tem controle</w:t>
      </w:r>
    </w:p>
    <w:p>
      <w:pPr>
        <w:pStyle w:val="BodyText"/>
        <w:numPr>
          <w:ilvl w:val="0"/>
          <w:numId w:val="1"/>
        </w:numPr>
        <w:spacing w:lineRule="auto" w:line="264" w:before="0" w:after="8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O projeto será desenvolvido com recursos computacionais disponíveis a equipe executora.</w:t>
      </w:r>
    </w:p>
    <w:p>
      <w:pPr>
        <w:pStyle w:val="BodyText"/>
        <w:numPr>
          <w:ilvl w:val="0"/>
          <w:numId w:val="1"/>
        </w:numPr>
        <w:spacing w:lineRule="auto" w:line="264" w:before="0" w:after="8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O projeto não dispõe de orçamento para contratação de infraestrutura externa. 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O projeto deverá ser concluído dentro do prazo estabelecido pela disciplina. </w:t>
      </w:r>
    </w:p>
    <w:p>
      <w:pPr>
        <w:pStyle w:val="Heading2"/>
        <w:spacing w:before="280" w:after="140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A59A"/>
          <w:sz w:val="26"/>
          <w:szCs w:val="26"/>
        </w:rPr>
        <w:t>6.2 Premissas — suposições adotadas que, se falharem, alteram o projeto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>
          <w:rFonts w:ascii="Arial" w:hAnsi="Arial"/>
          <w:sz w:val="20"/>
          <w:szCs w:val="20"/>
        </w:rPr>
      </w:pPr>
      <w:r>
        <w:rPr>
          <w:rFonts w:eastAsia="Calibri" w:cs="Calibri" w:ascii="Arial" w:hAnsi="Arial"/>
          <w:color w:val="333333"/>
          <w:sz w:val="22"/>
          <w:szCs w:val="22"/>
        </w:rPr>
        <w:t xml:space="preserve">A validação será realizada utilizando uma amostra de padrões previamente elaborada. 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>
          <w:rFonts w:ascii="Arial" w:hAnsi="Arial"/>
        </w:rPr>
      </w:pPr>
      <w:r>
        <w:rPr>
          <w:rFonts w:eastAsia="Calibri" w:cs="Calibri" w:ascii="Arial" w:hAnsi="Arial"/>
          <w:color w:val="333333"/>
          <w:sz w:val="22"/>
          <w:szCs w:val="22"/>
        </w:rPr>
        <w:t xml:space="preserve">O acesso ao correio eletrônico utilizado nos testes permanecerá disponível durante o desenvolvimento. </w:t>
      </w:r>
    </w:p>
    <w:p>
      <w:pPr>
        <w:pStyle w:val="Normal"/>
        <w:spacing w:before="0" w:after="1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pBdr>
          <w:bottom w:val="single" w:sz="8" w:space="6" w:color="FFDA1A"/>
        </w:pBdr>
        <w:spacing w:before="360" w:after="200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695F"/>
          <w:sz w:val="32"/>
          <w:szCs w:val="32"/>
        </w:rPr>
        <w:t>7. Controle de alterações</w:t>
      </w:r>
    </w:p>
    <w:p>
      <w:pPr>
        <w:pStyle w:val="Normal"/>
        <w:spacing w:lineRule="auto" w:line="276" w:before="0" w:after="140"/>
        <w:jc w:val="both"/>
        <w:rPr>
          <w:rFonts w:ascii="Arial" w:hAnsi="Arial"/>
        </w:rPr>
      </w:pPr>
      <w:r>
        <w:rPr>
          <w:rFonts w:eastAsia="Calibri" w:cs="Calibri" w:ascii="Arial" w:hAnsi="Arial"/>
          <w:color w:val="333333"/>
          <w:sz w:val="22"/>
          <w:szCs w:val="22"/>
        </w:rPr>
        <w:t>Toda alteração posterior ao aceite desta versão será registrada abaixo, com identificação do item alterado, da razão e do impacto em prazo e esforço. Alterações não registradas não serão consideradas na avaliação da entrega final.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1096"/>
        <w:gridCol w:w="1504"/>
        <w:gridCol w:w="2694"/>
        <w:gridCol w:w="4066"/>
      </w:tblGrid>
      <w:tr>
        <w:trPr>
          <w:tblHeader w:val="true"/>
        </w:trPr>
        <w:tc>
          <w:tcPr>
            <w:tcW w:w="1096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1504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694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Item alterado</w:t>
            </w:r>
          </w:p>
        </w:tc>
        <w:tc>
          <w:tcPr>
            <w:tcW w:w="4066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  <w:shd w:color="auto" w:fill="00A59A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FFFFFF"/>
                <w:sz w:val="20"/>
                <w:szCs w:val="20"/>
              </w:rPr>
              <w:t>Razão e impacto</w:t>
            </w:r>
          </w:p>
        </w:tc>
      </w:tr>
      <w:tr>
        <w:trPr/>
        <w:tc>
          <w:tcPr>
            <w:tcW w:w="1096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/>
                <w:bCs/>
                <w:color w:val="333333"/>
                <w:sz w:val="20"/>
                <w:szCs w:val="20"/>
              </w:rPr>
              <w:t>1.0</w:t>
            </w:r>
          </w:p>
        </w:tc>
        <w:tc>
          <w:tcPr>
            <w:tcW w:w="1504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01/09/2026 </w:t>
            </w:r>
          </w:p>
        </w:tc>
        <w:tc>
          <w:tcPr>
            <w:tcW w:w="2694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Emissão inicial</w:t>
            </w:r>
          </w:p>
        </w:tc>
        <w:tc>
          <w:tcPr>
            <w:tcW w:w="4066" w:type="dxa"/>
            <w:tcBorders>
              <w:top w:val="single" w:sz="4" w:space="0" w:color="C9D6D4"/>
              <w:start w:val="single" w:sz="4" w:space="0" w:color="C9D6D4"/>
              <w:bottom w:val="single" w:sz="4" w:space="0" w:color="C9D6D4"/>
              <w:end w:val="single" w:sz="4" w:space="0" w:color="C9D6D4"/>
            </w:tcBorders>
          </w:tcPr>
          <w:p>
            <w:pPr>
              <w:pStyle w:val="Normal"/>
              <w:spacing w:lineRule="auto" w:line="25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Calibri" w:ascii="Arial" w:hAnsi="Arial"/>
                <w:b w:val="false"/>
                <w:bCs w:val="false"/>
                <w:color w:val="333333"/>
                <w:sz w:val="20"/>
                <w:szCs w:val="20"/>
              </w:rPr>
              <w:t>—</w:t>
            </w:r>
          </w:p>
        </w:tc>
      </w:tr>
    </w:tbl>
    <w:p>
      <w:pPr>
        <w:pStyle w:val="Normal"/>
        <w:spacing w:before="0" w:after="1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pBdr>
          <w:bottom w:val="single" w:sz="8" w:space="6" w:color="FFDA1A"/>
        </w:pBdr>
        <w:spacing w:before="0" w:after="200"/>
        <w:rPr>
          <w:rFonts w:ascii="Arial" w:hAnsi="Arial"/>
        </w:rPr>
      </w:pPr>
      <w:r>
        <w:rPr>
          <w:rFonts w:eastAsia="Calibri" w:cs="Calibri" w:ascii="Arial" w:hAnsi="Arial"/>
          <w:b/>
          <w:bCs/>
          <w:color w:val="00695F"/>
          <w:sz w:val="32"/>
          <w:szCs w:val="32"/>
        </w:rPr>
        <w:t>Fecho da devolutiva</w:t>
      </w:r>
    </w:p>
    <w:p>
      <w:pPr>
        <w:pStyle w:val="Normal"/>
        <w:spacing w:lineRule="auto" w:line="276" w:before="0" w:after="140"/>
        <w:jc w:val="both"/>
        <w:rPr>
          <w:rFonts w:ascii="Arial" w:hAnsi="Arial"/>
        </w:rPr>
      </w:pPr>
      <w:r>
        <w:rPr>
          <w:rFonts w:eastAsia="Calibri" w:cs="Calibri" w:ascii="Arial" w:hAnsi="Arial"/>
          <w:color w:val="333333"/>
          <w:sz w:val="22"/>
          <w:szCs w:val="22"/>
        </w:rPr>
        <w:t>Antes de entregar, percorra a ficha de verificação de 18 itens do material da Aula 1. Os itens 04, 09 e 13 são eliminatórios: um termo sem objetivo verificável, sem escopo excluído ou com critérios de aceitação não verificáveis é devolvido para reescrita antes de qualquer avaliação de mérito. Remova todas as caixas coloridas deste documento antes de entregar.</w:t>
      </w:r>
    </w:p>
    <w:p>
      <w:pPr>
        <w:pStyle w:val="Normal"/>
        <w:spacing w:before="0" w:after="160"/>
        <w:rPr>
          <w:rFonts w:ascii="Arial" w:hAnsi="Arial"/>
        </w:rPr>
      </w:pPr>
      <w:r>
        <w:rPr>
          <w:rFonts w:ascii="Arial" w:hAnsi="Arial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276" w:right="1276" w:gutter="0" w:header="680" w:top="1418" w:footer="566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5A5A5A"/>
        <w:sz w:val="16"/>
        <w:szCs w:val="16"/>
      </w:rPr>
      <w:t xml:space="preserve">UNIASSELVI — Engenharia de Software   | 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Calibri" w:cs="Calibri"/>
        <w:color w:val="5A5A5A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5A5A5A"/>
        <w:sz w:val="16"/>
        <w:szCs w:val="16"/>
      </w:rPr>
      <w:t xml:space="preserve">UNIASSELVI — Engenharia de Software   | 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Calibri" w:cs="Calibri"/>
        <w:color w:val="5A5A5A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A59A"/>
      </w:pBdr>
      <w:spacing w:before="0" w:after="40"/>
      <w:jc w:val="end"/>
      <w:rPr/>
    </w:pPr>
    <w:r>
      <w:rPr>
        <w:rFonts w:eastAsia="Calibri" w:cs="Calibri"/>
        <w:color w:val="5A5A5A"/>
        <w:sz w:val="16"/>
        <w:szCs w:val="16"/>
      </w:rPr>
      <w:t>Experiência Profissional: Desenvolvimento de Aplicações  |  Termo de Referência — Modelo em branco para preenchimento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A59A"/>
      </w:pBdr>
      <w:spacing w:before="0" w:after="40"/>
      <w:jc w:val="end"/>
      <w:rPr/>
    </w:pPr>
    <w:r>
      <w:rPr>
        <w:rFonts w:eastAsia="Calibri" w:cs="Calibri"/>
        <w:color w:val="5A5A5A"/>
        <w:sz w:val="16"/>
        <w:szCs w:val="16"/>
      </w:rPr>
      <w:t>Experiência Profissional: Desenvolvimento de Aplicações  |  Termo de Referência — Modelo em branco para preenchimento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6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900" w:hanging="2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333333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333333"/>
      <w:kern w:val="0"/>
      <w:sz w:val="22"/>
      <w:szCs w:val="22"/>
      <w:lang w:val="pt-BR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rPr>
      <w:vertAlign w:val="superscript"/>
    </w:rPr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rPr>
      <w:b/>
      <w:bCs/>
    </w:rPr>
  </w:style>
  <w:style w:type="character" w:styleId="Bulletsuser">
    <w:name w:val="Bullets (user)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333333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333333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PreformattedText">
    <w:name w:val="Preformatted Text"/>
    <w:basedOn w:val="Normal"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LibreOffice/26.8.0.3$Windows_X86_64 LibreOffice_project/bce0998afefdbc355585ca324285661a2170ba77</Application>
  <AppVersion>15.0000</AppVersion>
  <Pages>6</Pages>
  <Words>1307</Words>
  <Characters>7632</Characters>
  <CharactersWithSpaces>8840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2026-08-27T01:51:04Z</dcterms:created>
  <dc:creator>Prof. Evaldo A. Oliveira</dc:creator>
  <dc:description>Material didático — UNIASSELVI</dc:description>
  <dc:language>pt-BR</dc:language>
  <cp:lastModifiedBy/>
  <cp:lastPrinted>2026-09-01T19:29:24Z</cp:lastPrinted>
  <dcterms:modified xsi:type="dcterms:W3CDTF">2026-09-01T21:30:28Z</dcterms:modified>
  <cp:revision>11</cp:revision>
  <dc:subject/>
  <dc:title>Experiência Profissional: Desenvolvimento de Aplicações — Termo de Referência — Modelo em branco para preenchimento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