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00000"/>
          <w:sz w:val="24"/>
        </w:rPr>
        <w:t>CENTRO UNIVERSITÁRIO LEONARDO DA VINCI — UNIASSELVI</w:t>
      </w:r>
    </w:p>
    <w:p>
      <w:pPr>
        <w:jc w:val="center"/>
      </w:pPr>
      <w:r>
        <w:rPr>
          <w:rFonts w:ascii="Calibri" w:hAnsi="Calibri" w:eastAsia="Calibri"/>
          <w:b w:val="0"/>
          <w:color w:val="000000"/>
          <w:sz w:val="22"/>
        </w:rPr>
        <w:t>Engenharia de Software — 7º período</w:t>
      </w:r>
    </w:p>
    <w:p>
      <w:pPr>
        <w:spacing w:before="80" w:after="120" w:line="360" w:lineRule="auto"/>
        <w:ind w:firstLine="0"/>
        <w:jc w:val="center"/>
      </w:pPr>
      <w:r>
        <w:rPr>
          <w:rFonts w:ascii="Calibri" w:hAnsi="Calibri" w:eastAsia="Calibri"/>
          <w:color w:val="000000"/>
          <w:sz w:val="20"/>
        </w:rPr>
        <w:drawing>
          <wp:inline xmlns:a="http://schemas.openxmlformats.org/drawingml/2006/main" xmlns:pic="http://schemas.openxmlformats.org/drawingml/2006/picture">
            <wp:extent cx="1800000" cy="1283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f83599-7b34-4a52-851a-3910f6c86b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83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hAnsi="Calibri" w:eastAsia="Calibri"/>
          <w:b/>
          <w:color w:val="1F7A6C"/>
          <w:sz w:val="32"/>
        </w:rPr>
        <w:t>DOCUMENTO DE ARQUITETURA</w:t>
      </w:r>
    </w:p>
    <w:p>
      <w:pPr>
        <w:spacing w:line="360" w:lineRule="auto"/>
        <w:ind w:firstLine="0"/>
        <w:jc w:val="center"/>
      </w:pPr>
      <w:r>
        <w:rPr>
          <w:rFonts w:ascii="Calibri" w:hAnsi="Calibri" w:eastAsia="Calibri"/>
          <w:color w:val="000000"/>
          <w:sz w:val="20"/>
        </w:rPr>
        <w:t>Etapa 19 do Roteiro de Execução (Fase 3). Consolida as classes de domínio, o algoritmo de análise e a estrutura de dados definidos nas etapas 14 a 17. As decisões arquiteturais que fundamentam este documento estão registradas separadamente no ADR.</w:t>
      </w:r>
    </w:p>
    <w:p>
      <w:pPr>
        <w:spacing w:line="36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Calibri" w:hAnsi="Calibri" w:eastAsia="Calibri"/>
          <w:b/>
          <w:color w:val="000000"/>
          <w:sz w:val="20"/>
        </w:rPr>
        <w:t xml:space="preserve">Projeto: </w:t>
      </w:r>
      <w:r>
        <w:rPr>
          <w:rFonts w:ascii="Calibri" w:hAnsi="Calibri" w:eastAsia="Calibri"/>
          <w:color w:val="000000"/>
          <w:sz w:val="20"/>
        </w:rPr>
        <w:t>Aplicativo de Detecção de Tentativas de Phishing por Correio Eletrônico</w:t>
      </w:r>
    </w:p>
    <w:p>
      <w:pPr>
        <w:spacing w:line="360" w:lineRule="auto"/>
        <w:ind w:firstLine="0"/>
        <w:jc w:val="center"/>
      </w:pPr>
      <w:r>
        <w:rPr>
          <w:rFonts w:ascii="Calibri" w:hAnsi="Calibri" w:eastAsia="Calibri"/>
          <w:b/>
          <w:color w:val="000000"/>
          <w:sz w:val="20"/>
        </w:rPr>
        <w:t xml:space="preserve">Versão: </w:t>
      </w:r>
      <w:r>
        <w:rPr>
          <w:rFonts w:ascii="Calibri" w:hAnsi="Calibri" w:eastAsia="Calibri"/>
          <w:color w:val="000000"/>
          <w:sz w:val="20"/>
        </w:rPr>
        <w:t>1.0</w:t>
      </w:r>
    </w:p>
    <w:p>
      <w:pPr>
        <w:spacing w:line="360" w:lineRule="auto"/>
        <w:ind w:firstLine="0"/>
        <w:jc w:val="center"/>
      </w:pPr>
      <w:r>
        <w:rPr>
          <w:rFonts w:ascii="Calibri" w:hAnsi="Calibri" w:eastAsia="Calibri"/>
          <w:b/>
          <w:color w:val="000000"/>
          <w:sz w:val="20"/>
        </w:rPr>
        <w:t xml:space="preserve">Data de emissão: </w:t>
      </w:r>
      <w:r>
        <w:rPr>
          <w:rFonts w:ascii="Calibri" w:hAnsi="Calibri" w:eastAsia="Calibri"/>
          <w:color w:val="000000"/>
          <w:sz w:val="20"/>
        </w:rPr>
        <w:t>28/09/2026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br w:type="page"/>
      </w:r>
    </w:p>
    <w:p>
      <w:pPr>
        <w:spacing w:before="120" w:after="120" w:line="360" w:lineRule="auto"/>
        <w:ind w:left="567" w:right="283" w:firstLine="0"/>
      </w:pPr>
      <w:r>
        <w:rPr>
          <w:rFonts w:ascii="Calibri" w:hAnsi="Calibri" w:eastAsia="Calibri"/>
          <w:i/>
          <w:color w:val="000000"/>
          <w:sz w:val="20"/>
        </w:rPr>
        <w:t>Etapa 14 do Roteiro de Execução (Fase 2). Lista apenas as classes que representam algo do problema em si — sem interfaces de repositório e sem classes de coordenação/serviço (essas ficam para quando a arquitetura em camadas for desenhada, Etapa 15).</w:t>
      </w: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1. Classes de Domínio — Regras de Negócio</w:t>
      </w:r>
    </w:p>
    <w:p>
      <w:pPr>
        <w:pStyle w:val="Heading2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4"/>
        </w:rPr>
        <w:t>1.1 ConteudoRelevante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Conhece o remetente e os hyperlinks de um e-mail recebido, e diz se contém algum hyperlink.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`ConteudoBruto` (uma cópia do conteúdo bruto)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`EndereçoRemetente` (endereço de correio eletrônico)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`EmpresaRemetente` (nome da suposta empresa remetente)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`Hyperlinks` (lista de `strings`)</w:t>
      </w:r>
    </w:p>
    <w:p>
      <w:pPr>
        <w:pStyle w:val="Heading2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4"/>
        </w:rPr>
        <w:t>1.2 Inconsistencia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Descreve um motivo específico pelo qual uma verificação falhou.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`Tipo`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`Descricao`</w:t>
      </w:r>
    </w:p>
    <w:p>
      <w:pPr>
        <w:pStyle w:val="Heading2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4"/>
        </w:rPr>
        <w:t>1.3 RelatorioInconsistencias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Reúne as inconsistências encontradas em uma mensagem e registra quando foi gerado.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`Conteudo` (referência a `ConteudoRelevante.ConteudoBruto`)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`Inconsistencias` (lista de `Inconsistencia`)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`DataGeracao`</w:t>
      </w:r>
    </w:p>
    <w:p>
      <w:pPr>
        <w:pStyle w:val="Heading2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4"/>
        </w:rPr>
        <w:t>1.4 EmailAnalist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Executa o algoritmo de análise (seção 2) sobre um `ConteudoRelevante` e devolve um `RelatorioInconsistencias` quando o correio eletrônico é suspeito, ou nada quando não há o que reportar.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`Consulta` (referência a `IConsulta`, recebida na construção)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`RelatorioInconsistencias` Analisar(`ConteudoRelevante` conteudo)</w:t>
      </w:r>
    </w:p>
    <w:p>
      <w:pPr>
        <w:pStyle w:val="Heading2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4"/>
        </w:rPr>
        <w:t>1.5 Classes fora de domínio — implementações sólidas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`Capturador`: (captura o correio eletrônico para uma fila e filtra o conteúdo, entregando um `ConteudoRelevante` apenas quando um hyperlink é encontrado)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`MongoDBInterface`: (uma interface generica na database MongoDB para facilitar as consultas do `Algoritmo de Analise`)</w:t>
      </w: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2. Algoritmo de Análise</w:t>
      </w:r>
    </w:p>
    <w:p>
      <w:pPr>
        <w:pStyle w:val="Heading2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4"/>
        </w:rPr>
        <w:t>2.1 Objetivo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Analisar os correios eletrônicos recebidos e identificar aqueles que apresentam inconsistências nos hyperlinks.</w:t>
      </w:r>
    </w:p>
    <w:p>
      <w:pPr>
        <w:pStyle w:val="Heading2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4"/>
        </w:rPr>
        <w:t>2.2 Processamento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CORREIO ELETRÔNICO recebido é capturado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hyperlinks ← verificar existência de hyperlinks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       no conteúdo do correio eletrônico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SE hyperlinks estiver vazio: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ignorar o correio eletrônico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PARA CADA hyperlink: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verificar domínio e padrão do hyperlink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no Registro de domínios de encurtamento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empresa ← identificar empresa sendo impersonada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     no conteúdo do correio eletrônico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     utilizando o Registro de empresas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template ← consultar o Template específico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     da empresa identificada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PARA CADA hyperlink: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domínio ← extrair domínio do hyperlink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endereço ← extrair endereço de correio eletrônico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comparar domínio e endereço com todos os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domínios oficiais registrados no template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SE houver alguma inconsistência: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marcar o correio eletrônico como suspeito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registrar as inconsistências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gerar relatório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notificar o usuário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CASO CONTRÁRIO: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não marcar o correio eletrônico como suspeito</w:t>
      </w:r>
    </w:p>
    <w:p>
      <w:pPr>
        <w:pStyle w:val="Heading2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4"/>
        </w:rPr>
        <w:t>2.3 Etapas</w:t>
      </w:r>
    </w:p>
    <w:p>
      <w:pPr>
        <w:pStyle w:val="Heading3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2"/>
        </w:rPr>
        <w:t>2.3.1 Captura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O sistema monitora a caixa de entrada principal e captura os correios eletrônicos recebidos.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A captura não impede o recebimento do correio eletrônico na caixa de entrada principal.</w:t>
      </w:r>
    </w:p>
    <w:p>
      <w:pPr>
        <w:pStyle w:val="Heading3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2"/>
        </w:rPr>
        <w:t>2.3.2 Filtragem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O conteudo do correio eletronico e verificado para existencia de hyperlinks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Correios eletrônicos sem hyperlinks são ignorados.</w:t>
      </w:r>
    </w:p>
    <w:p>
      <w:pPr>
        <w:pStyle w:val="Heading3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2"/>
        </w:rPr>
        <w:t>2.3.3 Verificação de encurtamento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Cada hyperlink capturado é verificado contra o Registro de domínios de encurtamento de links.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A verificação considera os domínios registrados e os padrões de links encurtados associados a eles.</w:t>
      </w:r>
    </w:p>
    <w:p>
      <w:pPr>
        <w:pStyle w:val="Heading3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2"/>
        </w:rPr>
        <w:t>2.3.4 Identificação da empresa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O nome da empresa sendo impersonada dentro do conteudo do correio eletronico é capturado referenciando o Index de empresas.</w:t>
      </w:r>
    </w:p>
    <w:p>
      <w:pPr>
        <w:pStyle w:val="Heading3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2"/>
        </w:rPr>
        <w:t>2.3.5 Consulta do template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Após a identificação da empresa, o Template específico registrado no banco, da empresa é consultado para obter seus domínios oficiais.</w:t>
      </w:r>
    </w:p>
    <w:p>
      <w:pPr>
        <w:pStyle w:val="Heading3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2"/>
        </w:rPr>
        <w:t>2.3.6 Verificação de domínios oficiais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O domínio de cada hyperlink e endereço de correio eletronico e comparado com todos os domínios oficiais registrados no template da empresa identificada.</w:t>
      </w:r>
    </w:p>
    <w:p>
      <w:pPr>
        <w:pStyle w:val="Heading3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2"/>
        </w:rPr>
        <w:t>2.3.7 Resultado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Caso uma das verificações apresente uma inconsistência: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o correio eletrônico é marcado como suspeito;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as inconsistências identificadas são registradas;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é gerado um relatório;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o usuário é notificado.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Caso não sejam encontradas inconsistências, o correio eletrônico não é marcado como suspeito.</w:t>
      </w:r>
    </w:p>
    <w:p>
      <w:pPr>
        <w:pStyle w:val="Heading2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4"/>
        </w:rPr>
        <w:t>2.4 Operações principais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Lista de entidades x operaçao dominante no algoritmo</w:t>
      </w:r>
    </w:p>
    <w:p>
      <w:pPr>
        <w:pStyle w:val="ListNumber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Registro de domínios de encurtamento de links: Consulta</w:t>
      </w:r>
    </w:p>
    <w:p>
      <w:pPr>
        <w:pStyle w:val="ListNumber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Index de empresas: Consulta</w:t>
      </w:r>
    </w:p>
    <w:p>
      <w:pPr>
        <w:pStyle w:val="ListNumber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Templates específicos de uma empresa: Consulta</w:t>
      </w: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3. Estrutura de Dados</w:t>
      </w:r>
    </w:p>
    <w:p>
      <w:pPr>
        <w:pStyle w:val="Heading2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4"/>
        </w:rPr>
        <w:t>3.1 Banco de dados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A PoC utilizará MongoDB como banco de dados documental. A base será composta por três tipos de documentos:</w:t>
      </w:r>
    </w:p>
    <w:p>
      <w:pPr>
        <w:pStyle w:val="ListNumber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Registro de domínios de encurtamento de links;</w:t>
      </w:r>
    </w:p>
    <w:p>
      <w:pPr>
        <w:pStyle w:val="ListNumber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Index de empresas;</w:t>
      </w:r>
    </w:p>
    <w:p>
      <w:pPr>
        <w:pStyle w:val="ListNumber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Templates específicos de uma empresa.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A base será hospedada localmente.</w:t>
      </w:r>
    </w:p>
    <w:p>
      <w:pPr>
        <w:pStyle w:val="Heading3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2"/>
        </w:rPr>
        <w:t>3.1.1 Justificação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A equipe, consistindo de uma unica pessoa com os papeis de projetista, pesquisador e executor, esta acostumado com essa tecnologia, e nenhuma necessidade dentro desse PoC descorda com o uso dessa tecnologia.</w:t>
      </w:r>
    </w:p>
    <w:p>
      <w:pPr>
        <w:pStyle w:val="Heading2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4"/>
        </w:rPr>
        <w:t>3.2 Registro de domínios de encurtamento de links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Esse documento registra um domínio conhecido de serviço de encurtamento de links e os padrões utilizados pelos links encurtados.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{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"list": [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{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"domain": "bit.ly",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"patterns": [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  "bit.ly/*"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  ...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]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},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...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]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}</w:t>
      </w:r>
    </w:p>
    <w:p>
      <w:pPr>
        <w:pStyle w:val="Heading2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4"/>
        </w:rPr>
        <w:t>3.3 Index de empresas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Esse documento registra uma empresa e é utilizado para procurar o nome da empresa sendo impersonada no correio eletrônico.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{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companies = [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EmpresaExemplo1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EmpresaExemplo2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...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]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}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Após a identificação da empresa, o registro de template específico correspondente será consultado.</w:t>
      </w:r>
    </w:p>
    <w:p>
      <w:pPr>
        <w:pStyle w:val="Heading2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4"/>
        </w:rPr>
        <w:t>3.4 Template de padrao de Registro Empresas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Cada documento seguindo esse padrao, registra uma certa empresa e seus domínios oficiais.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{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"company": "Empresa Exemplo",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"official_domains": [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"empresa.com.br",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"www.empresa.com.br"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]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}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Os domínios dos hyperlinks encontrados no correio eletrônico serão comparados com todos os domínios oficiais registrados no template da empresa identificada.</w:t>
      </w:r>
    </w:p>
    <w:p>
      <w:pPr>
        <w:pStyle w:val="Heading2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4"/>
        </w:rPr>
        <w:t>3.5 Fluxo de consulta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Correio eletrônico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 │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 ▼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Index de empresas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 │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 │ empresa identificada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 ▼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Registro de template específico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 │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 │ domínios oficiais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 xml:space="preserve">       ▼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Comparação com os hyperlinks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O Registro de domínios de encurtamento de links é consultado para verificar se os hyperlinks correspondem a domínios ou padrões conhecidos de encurtamento.</w:t>
      </w:r>
    </w:p>
    <w:p>
      <w:pPr>
        <w:pStyle w:val="Heading2"/>
        <w:spacing w:line="240" w:lineRule="auto"/>
        <w:ind w:firstLine="0"/>
      </w:pPr>
      <w:r>
        <w:rPr>
          <w:rFonts w:ascii="Calibri" w:hAnsi="Calibri" w:eastAsia="Calibri"/>
          <w:b/>
          <w:color w:val="1F7A6C"/>
          <w:sz w:val="24"/>
        </w:rPr>
        <w:t>3.6 Persistência do relatório de inconsistências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O `RelatorioInconsistencias` é o único dado efetivamente gravado pela aplicação, é salvo localmente como arquivo `.txt`, na pasta padrão de documentos do usuário, dentro de uma subpasta `Phishing Reports`.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As demais estruturas descritas neste documento (domínios de encurtamento, index de empresas, templates de empresa) são somente consultadas pela aplicação.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Qualquer adição, remoção ou atualização nelas é feita manualmente por um operador diretamente na base — a aplicação não possui nenhuma operação de escrita sobre essas coleções</w:t>
      </w: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4. Rastreabilidade dos Requisitos de Prioridade Alta</w:t>
      </w:r>
    </w:p>
    <w:p>
      <w:pPr>
        <w:spacing w:before="120" w:after="120" w:line="360" w:lineRule="auto"/>
        <w:ind w:left="567" w:right="283" w:firstLine="0"/>
      </w:pPr>
      <w:r>
        <w:rPr>
          <w:rFonts w:ascii="Calibri" w:hAnsi="Calibri" w:eastAsia="Calibri"/>
          <w:i/>
          <w:color w:val="000000"/>
          <w:sz w:val="20"/>
        </w:rPr>
        <w:t>O Documento de Requisitos v1.0 não classifica formalmente os requisitos por prioridade. Para esta rastreabilidade, adota-se o critério: todo RF do núcleo funcional (RF-01 a RF-11) é Alta, por não existir escopo "desejável" nesta PoC — tudo o que está especificado é obrigatório. RNF-01 a RNF-04 são Alta por serem eliminatórios (TR 3.3/6.1) ou por corresponderem ao critério de tempo/volume exigido pelo AV1 (T4). RNF-05 a RNF-07 permanecem Média e ficam fora desta tabela, por não determinarem estrutura de camadas ou de dados.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135"/>
        <w:gridCol w:w="3135"/>
        <w:gridCol w:w="3135"/>
      </w:tblGrid>
      <w:tr>
        <w:trPr>
          <w:tblHeader w:val="true"/>
          <w:tblHeader w:val="true"/>
        </w:trPr>
        <w:tc>
          <w:tcPr>
            <w:tcW w:type="dxa" w:w="3135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3135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Descrição resumida</w:t>
            </w:r>
          </w:p>
        </w:tc>
        <w:tc>
          <w:tcPr>
            <w:tcW w:type="dxa" w:w="3135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Onde é atendido na arquitetura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RF-01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Operar continuamente em segundo plano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Camada Presentation (ADR 0005) — bandeja do sistema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RF-02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Autenticação OAuth2, sem senha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ADR 0004; camada Infrastructure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RF-03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Bloquear análise sem autorização válida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Camada Infrastructure (guarda de OAuth2) — ainda sem classe própria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RF-04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Monitorar IMAP/SSL (porta 993)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`Capturador` (§1.4); ADR 0003 (MailKit); camada Infrastructure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RF-05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Identificar mensagens com hyperlink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`ConteudoRelevante` (§1.1); Algoritmo §2.3.2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RF-06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Ignorar mensagens sem hyperlink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Algoritmo §2.2 / §2.3.2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RF-07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Validar hyperlink (encurtamento, domínio oficial, remetente)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Algoritmo §2.3.3 e §2.3.6; Estrutura de Dados §3.2 e §3.4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RF-08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Marcar mensagem como suspeita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Algoritmo §2.3.7; `Inconsistencia` (§1.2)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RF-09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Notificar o usuário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Algoritmo §2.3.7; camada Presentation (ADR 0005)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RF-10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Gerar relatório de inconsistências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`RelatorioInconsistencias` (§1.3); Estrutura de Dados §3.6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RF-11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Identificar empresa impersonada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Algoritmo §2.3.4; Estrutura de Dados §3.3 (Index de empresas)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RNF-01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Analisar em até 10s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sem verificação formal — prorrogada para Fase 5 (testes)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RNF-02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Não armazenar senha do usuário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ADR 0004; nenhuma estrutura de dados deste documento guarda credencial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RNF-03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Processamento local (client-side)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Algoritmo completo roda no cliente (§2.2–§2.3);</w:t>
            </w:r>
          </w:p>
        </w:tc>
      </w:tr>
    </w:tbl>
    <w:p>
      <w:pPr>
        <w:spacing w:after="0" w:line="360" w:lineRule="auto"/>
        <w:ind w:firstLin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F5F5F"/>
        <w:sz w:val="18"/>
      </w:rPr>
      <w:t xml:space="preserve">UNIASSELVI — Engenharia de Software | Página </w:t>
    </w:r>
    <w:r>
      <w:rPr>
        <w:rFonts w:ascii="Calibri" w:hAnsi="Calibri" w:eastAsia="Calibri"/>
        <w:b w:val="0"/>
        <w:color w:val="5F5F5F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BFBFBF"/>
      </w:pBdr>
    </w:pPr>
    <w:r>
      <w:rPr>
        <w:rFonts w:ascii="Calibri" w:hAnsi="Calibri" w:eastAsia="Calibri"/>
        <w:b w:val="0"/>
        <w:i/>
        <w:color w:val="5F5F5F"/>
        <w:sz w:val="18"/>
      </w:rPr>
      <w:t>Documento de Arquitetura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0"/>
    </w:pPr>
    <w:rPr>
      <w:rFonts w:ascii="Calibri" w:hAnsi="Calibri" w:eastAsia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ind w:firstLine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7A6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ind w:firstLine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7A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ind w:firstLine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7A6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36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pPr>
      <w:spacing w:line="240" w:lineRule="auto" w:before="80" w:after="80"/>
      <w:ind w:left="567" w:right="283"/>
    </w:pPr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