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00000"/>
          <w:sz w:val="24"/>
        </w:rPr>
        <w:t>CENTRO UNIVERSITÁRIO LEONARDO DA VINCI — UNIASSELVI</w:t>
      </w:r>
    </w:p>
    <w:p>
      <w:pPr>
        <w:jc w:val="center"/>
      </w:pPr>
      <w:r>
        <w:rPr>
          <w:rFonts w:ascii="Calibri" w:hAnsi="Calibri" w:eastAsia="Calibri"/>
          <w:b w:val="0"/>
          <w:color w:val="000000"/>
          <w:sz w:val="22"/>
        </w:rPr>
        <w:t>Engenharia de Software — 7º período</w:t>
      </w:r>
    </w:p>
    <w:p>
      <w:pPr>
        <w:spacing w:before="80" w:after="120" w:line="360" w:lineRule="auto"/>
        <w:ind w:firstLine="0"/>
        <w:jc w:val="center"/>
      </w:pPr>
      <w:r>
        <w:rPr>
          <w:rFonts w:ascii="Calibri" w:hAnsi="Calibri" w:eastAsia="Calibri"/>
          <w:color w:val="000000"/>
          <w:sz w:val="20"/>
        </w:rPr>
        <w:drawing>
          <wp:inline xmlns:a="http://schemas.openxmlformats.org/drawingml/2006/main" xmlns:pic="http://schemas.openxmlformats.org/drawingml/2006/picture">
            <wp:extent cx="1800000" cy="1283646"/>
            <wp:docPr id="1" name="Picture 1"/>
            <wp:cNvGraphicFramePr>
              <a:graphicFrameLocks noChangeAspect="1"/>
            </wp:cNvGraphicFramePr>
            <a:graphic>
              <a:graphicData uri="http://schemas.openxmlformats.org/drawingml/2006/picture">
                <pic:pic>
                  <pic:nvPicPr>
                    <pic:cNvPr id="0" name="58f83599-7b34-4a52-851a-3910f6c86b24.png"/>
                    <pic:cNvPicPr/>
                  </pic:nvPicPr>
                  <pic:blipFill>
                    <a:blip r:embed="rId11"/>
                    <a:stretch>
                      <a:fillRect/>
                    </a:stretch>
                  </pic:blipFill>
                  <pic:spPr>
                    <a:xfrm>
                      <a:off x="0" y="0"/>
                      <a:ext cx="1800000" cy="1283646"/>
                    </a:xfrm>
                    <a:prstGeom prst="rect"/>
                  </pic:spPr>
                </pic:pic>
              </a:graphicData>
            </a:graphic>
          </wp:inline>
        </w:drawing>
      </w:r>
    </w:p>
    <w:p>
      <w:pPr>
        <w:spacing w:before="1200"/>
        <w:jc w:val="center"/>
      </w:pPr>
      <w:r>
        <w:rPr>
          <w:rFonts w:ascii="Calibri" w:hAnsi="Calibri" w:eastAsia="Calibri"/>
          <w:b/>
          <w:color w:val="1F7A6C"/>
          <w:sz w:val="32"/>
        </w:rPr>
        <w:t>GUIA DE REFERÊNCIA DE FORMATAÇÃO</w:t>
      </w:r>
    </w:p>
    <w:p>
      <w:pPr>
        <w:spacing w:line="360" w:lineRule="auto"/>
        <w:ind w:firstLine="0"/>
        <w:jc w:val="center"/>
      </w:pPr>
      <w:r>
        <w:rPr>
          <w:rFonts w:ascii="Calibri" w:hAnsi="Calibri" w:eastAsia="Calibri"/>
          <w:color w:val="000000"/>
          <w:sz w:val="20"/>
        </w:rPr>
        <w:t>Padrão documental para os documentos do TCC — UNIASSELVI / Engenharia de Software</w:t>
      </w:r>
    </w:p>
    <w:p>
      <w:pPr>
        <w:spacing w:line="360" w:lineRule="auto"/>
        <w:ind w:firstLine="0"/>
      </w:pPr>
    </w:p>
    <w:p>
      <w:pPr>
        <w:spacing w:line="360" w:lineRule="auto"/>
        <w:ind w:firstLine="0"/>
        <w:jc w:val="center"/>
      </w:pPr>
      <w:r>
        <w:rPr>
          <w:rFonts w:ascii="Calibri" w:hAnsi="Calibri" w:eastAsia="Calibri"/>
          <w:b/>
          <w:color w:val="000000"/>
          <w:sz w:val="20"/>
        </w:rPr>
        <w:t xml:space="preserve">Projeto: </w:t>
      </w:r>
      <w:r>
        <w:rPr>
          <w:rFonts w:ascii="Calibri" w:hAnsi="Calibri" w:eastAsia="Calibri"/>
          <w:color w:val="000000"/>
          <w:sz w:val="20"/>
        </w:rPr>
        <w:t>Aplicativo de Detecção de Tentativas de Phishing por Correio Eletrônico</w:t>
      </w:r>
    </w:p>
    <w:p>
      <w:pPr>
        <w:spacing w:line="360" w:lineRule="auto"/>
        <w:ind w:firstLine="0"/>
        <w:jc w:val="center"/>
      </w:pPr>
      <w:r>
        <w:rPr>
          <w:rFonts w:ascii="Calibri" w:hAnsi="Calibri" w:eastAsia="Calibri"/>
          <w:b/>
          <w:color w:val="000000"/>
          <w:sz w:val="20"/>
        </w:rPr>
        <w:t xml:space="preserve">Versão: </w:t>
      </w:r>
      <w:r>
        <w:rPr>
          <w:rFonts w:ascii="Calibri" w:hAnsi="Calibri" w:eastAsia="Calibri"/>
          <w:color w:val="000000"/>
          <w:sz w:val="20"/>
        </w:rPr>
        <w:t>1.0</w:t>
      </w:r>
    </w:p>
    <w:p>
      <w:pPr>
        <w:spacing w:line="360" w:lineRule="auto"/>
        <w:ind w:firstLine="0"/>
        <w:jc w:val="center"/>
      </w:pPr>
      <w:r>
        <w:rPr>
          <w:rFonts w:ascii="Calibri" w:hAnsi="Calibri" w:eastAsia="Calibri"/>
          <w:b/>
          <w:color w:val="000000"/>
          <w:sz w:val="20"/>
        </w:rPr>
        <w:t xml:space="preserve">Data de emissão: </w:t>
      </w:r>
      <w:r>
        <w:rPr>
          <w:rFonts w:ascii="Calibri" w:hAnsi="Calibri" w:eastAsia="Calibri"/>
          <w:color w:val="000000"/>
          <w:sz w:val="20"/>
        </w:rPr>
        <w:t>28/09/2026</w:t>
      </w:r>
    </w:p>
    <w:p>
      <w:pPr>
        <w:spacing w:line="360" w:lineRule="auto"/>
        <w:ind w:firstLine="0"/>
      </w:pPr>
      <w:r>
        <w:rPr>
          <w:rFonts w:ascii="Calibri" w:hAnsi="Calibri" w:eastAsia="Calibri"/>
          <w:color w:val="000000"/>
          <w:sz w:val="20"/>
        </w:rPr>
        <w:br w:type="page"/>
      </w:r>
    </w:p>
    <w:p>
      <w:pPr>
        <w:pStyle w:val="Heading1"/>
        <w:spacing w:line="240" w:lineRule="auto"/>
        <w:ind w:firstLine="0"/>
        <w:pBdr>
          <w:bottom w:val="single" w:sz="8" w:space="5" w:color="1F7A6C"/>
        </w:pBdr>
      </w:pPr>
      <w:r>
        <w:rPr>
          <w:rFonts w:ascii="Calibri" w:hAnsi="Calibri" w:eastAsia="Calibri"/>
          <w:b/>
          <w:color w:val="1F7A6C"/>
          <w:sz w:val="28"/>
        </w:rPr>
        <w:t>1. Finalidade</w:t>
      </w:r>
    </w:p>
    <w:p>
      <w:pPr>
        <w:spacing w:line="360" w:lineRule="auto"/>
        <w:ind w:firstLine="0"/>
      </w:pPr>
      <w:r>
        <w:rPr>
          <w:rFonts w:ascii="Calibri" w:hAnsi="Calibri" w:eastAsia="Calibri"/>
          <w:color w:val="000000"/>
          <w:sz w:val="20"/>
        </w:rPr>
        <w:t>Este guia registra o padrão utilizado para adequar os documentos técnicos do projeto à apresentação adotada nos documentos de referência do projeto, especialmente o Termo de Referência e o Documento de Requisitos. O objetivo é permitir que novos documentos mantenham aparência, estrutura e convenções consistentes.</w:t>
      </w:r>
    </w:p>
    <w:p>
      <w:pPr>
        <w:pStyle w:val="Heading1"/>
        <w:spacing w:line="240" w:lineRule="auto"/>
        <w:ind w:firstLine="0"/>
        <w:pBdr>
          <w:bottom w:val="single" w:sz="8" w:space="5" w:color="1F7A6C"/>
        </w:pBdr>
      </w:pPr>
      <w:r>
        <w:rPr>
          <w:rFonts w:ascii="Calibri" w:hAnsi="Calibri" w:eastAsia="Calibri"/>
          <w:b/>
          <w:color w:val="1F7A6C"/>
          <w:sz w:val="28"/>
        </w:rPr>
        <w:t>2. Documentos de referência utilizados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02"/>
        <w:gridCol w:w="4702"/>
      </w:tblGrid>
      <w:tr>
        <w:trPr>
          <w:tblHeader w:val="true"/>
          <w:tblHeader w:val="true"/>
        </w:trPr>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Documento</w:t>
            </w:r>
          </w:p>
        </w:tc>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Uso como referência</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Termo de Referência</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Identificação institucional, título, identificação do projeto, organização por seções numeradas, tabelas e apresentação geral.</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Documento de Requisitos</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Cabeçalho institucional, indicação de páginas, hierarquia de seções, tabelas de requisitos/rastreabilidade e controle de versão.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Critérios de Avaliação — Fases 1 a 3</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Contexto acadêmico e exigência de consistência entre documentos; o material destaca que mudanças devem ser registradas e os documentos devem concordar entre si.</w:t>
            </w:r>
          </w:p>
        </w:tc>
      </w:tr>
    </w:tbl>
    <w:p>
      <w:pPr>
        <w:spacing w:after="0" w:line="360" w:lineRule="auto"/>
        <w:ind w:firstLine="0"/>
      </w:pPr>
    </w:p>
    <w:p>
      <w:pPr>
        <w:spacing w:before="120" w:after="120" w:line="360" w:lineRule="auto"/>
        <w:ind w:left="567" w:right="283" w:firstLine="0"/>
      </w:pPr>
      <w:r>
        <w:rPr>
          <w:rFonts w:ascii="Calibri" w:hAnsi="Calibri" w:eastAsia="Calibri"/>
          <w:i/>
          <w:color w:val="000000"/>
          <w:sz w:val="20"/>
        </w:rPr>
        <w:t>A referência adotada é a apresentação já utilizada pelo próprio projeto. Este guia não substitui um manual institucional oficial da UNIASSELVI nem pretende afirmar que todos os detalhes tipográficos abaixo constituem uma prescrição oficial da instituição.</w:t>
      </w:r>
    </w:p>
    <w:p>
      <w:pPr>
        <w:pStyle w:val="Heading1"/>
        <w:spacing w:line="240" w:lineRule="auto"/>
        <w:ind w:firstLine="0"/>
        <w:pBdr>
          <w:bottom w:val="single" w:sz="8" w:space="5" w:color="1F7A6C"/>
        </w:pBdr>
      </w:pPr>
      <w:r>
        <w:rPr>
          <w:rFonts w:ascii="Calibri" w:hAnsi="Calibri" w:eastAsia="Calibri"/>
          <w:b/>
          <w:color w:val="1F7A6C"/>
          <w:sz w:val="28"/>
        </w:rPr>
        <w:t>3. Configuração de página</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02"/>
        <w:gridCol w:w="4702"/>
      </w:tblGrid>
      <w:tr>
        <w:trPr>
          <w:tblHeader w:val="true"/>
          <w:tblHeader w:val="true"/>
        </w:trPr>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Elemento</w:t>
            </w:r>
          </w:p>
        </w:tc>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Padrão adotado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Tamanho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A4</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Margem superior</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3 cm</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Margem esquerda</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3 cm</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Margem direita</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2 cm</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Margem inferior</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2 cm</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Fonte principal</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Arial</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Tamanho do corpo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12 pt</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Espaçamento entre linhas</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1,5</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Recuo da primeira linha</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1,25 cm no texto corrido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Alinhamento do corpo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Justificado, salvo elementos que exijam outro alinhamento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Cabeçalho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Título curto do documento, Arial 9 pt, alinhado à direita</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Rodapé</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UNIASSELVI — Engenharia de Software | Página X, Arial 9 pt, centralizado</w:t>
            </w:r>
          </w:p>
        </w:tc>
      </w:tr>
    </w:tbl>
    <w:p>
      <w:pPr>
        <w:spacing w:after="0" w:line="360" w:lineRule="auto"/>
        <w:ind w:firstLine="0"/>
      </w:pPr>
    </w:p>
    <w:p>
      <w:pPr>
        <w:pStyle w:val="Heading1"/>
        <w:spacing w:line="240" w:lineRule="auto"/>
        <w:ind w:firstLine="0"/>
        <w:pBdr>
          <w:bottom w:val="single" w:sz="8" w:space="5" w:color="1F7A6C"/>
        </w:pBdr>
      </w:pPr>
      <w:r>
        <w:rPr>
          <w:rFonts w:ascii="Calibri" w:hAnsi="Calibri" w:eastAsia="Calibri"/>
          <w:b/>
          <w:color w:val="1F7A6C"/>
          <w:sz w:val="28"/>
        </w:rPr>
        <w:t>4. Abertura do documento</w:t>
      </w:r>
    </w:p>
    <w:p>
      <w:pPr>
        <w:spacing w:line="360" w:lineRule="auto"/>
        <w:ind w:firstLine="0"/>
      </w:pPr>
      <w:r>
        <w:rPr>
          <w:rFonts w:ascii="Calibri" w:hAnsi="Calibri" w:eastAsia="Calibri"/>
          <w:color w:val="000000"/>
          <w:sz w:val="20"/>
        </w:rPr>
        <w:t>Os documentos técnicos seguem uma abertura padronizada antes do conteúdo principal.</w:t>
      </w:r>
    </w:p>
    <w:p>
      <w:pPr>
        <w:pStyle w:val="ListBullet"/>
        <w:spacing w:line="360" w:lineRule="auto"/>
        <w:ind w:firstLine="0"/>
      </w:pPr>
      <w:r>
        <w:rPr>
          <w:rFonts w:ascii="Calibri" w:hAnsi="Calibri" w:eastAsia="Calibri"/>
          <w:color w:val="000000"/>
          <w:sz w:val="20"/>
        </w:rPr>
        <w:t>Nome institucional: CENTRO UNIVERSITÁRIO LEONARDO DA VINCI — UNIASSELVI.</w:t>
      </w:r>
    </w:p>
    <w:p>
      <w:pPr>
        <w:pStyle w:val="ListBullet"/>
        <w:spacing w:line="360" w:lineRule="auto"/>
        <w:ind w:firstLine="0"/>
      </w:pPr>
      <w:r>
        <w:rPr>
          <w:rFonts w:ascii="Calibri" w:hAnsi="Calibri" w:eastAsia="Calibri"/>
          <w:color w:val="000000"/>
          <w:sz w:val="20"/>
        </w:rPr>
        <w:t>Curso/período: Engenharia de Software — 7º período.</w:t>
      </w:r>
    </w:p>
    <w:p>
      <w:pPr>
        <w:pStyle w:val="ListBullet"/>
        <w:spacing w:line="360" w:lineRule="auto"/>
        <w:ind w:firstLine="0"/>
      </w:pPr>
      <w:r>
        <w:rPr>
          <w:rFonts w:ascii="Calibri" w:hAnsi="Calibri" w:eastAsia="Calibri"/>
          <w:color w:val="000000"/>
          <w:sz w:val="20"/>
        </w:rPr>
        <w:t>Título do documento em destaque e centralizado.</w:t>
      </w:r>
    </w:p>
    <w:p>
      <w:pPr>
        <w:pStyle w:val="ListBullet"/>
        <w:spacing w:line="360" w:lineRule="auto"/>
        <w:ind w:firstLine="0"/>
      </w:pPr>
      <w:r>
        <w:rPr>
          <w:rFonts w:ascii="Calibri" w:hAnsi="Calibri" w:eastAsia="Calibri"/>
          <w:color w:val="000000"/>
          <w:sz w:val="20"/>
        </w:rPr>
        <w:t>Identificação do projeto: Aplicativo de Detecção de Tentativas de Phishing por Correio Eletrônico.</w:t>
      </w:r>
    </w:p>
    <w:p>
      <w:pPr>
        <w:pStyle w:val="ListBullet"/>
        <w:spacing w:line="360" w:lineRule="auto"/>
        <w:ind w:firstLine="0"/>
      </w:pPr>
      <w:r>
        <w:rPr>
          <w:rFonts w:ascii="Calibri" w:hAnsi="Calibri" w:eastAsia="Calibri"/>
          <w:color w:val="000000"/>
          <w:sz w:val="20"/>
        </w:rPr>
        <w:t>Versão e data de emissão quando aplicáveis.</w:t>
      </w:r>
    </w:p>
    <w:p>
      <w:pPr>
        <w:pStyle w:val="ListBullet"/>
        <w:spacing w:line="360" w:lineRule="auto"/>
        <w:ind w:firstLine="0"/>
      </w:pPr>
      <w:r>
        <w:rPr>
          <w:rFonts w:ascii="Calibri" w:hAnsi="Calibri" w:eastAsia="Calibri"/>
          <w:color w:val="000000"/>
          <w:sz w:val="20"/>
        </w:rPr>
        <w:t>Após a abertura, o conteúdo inicia em nova página.</w:t>
      </w:r>
    </w:p>
    <w:p>
      <w:pPr>
        <w:spacing w:line="360" w:lineRule="auto"/>
        <w:ind w:firstLine="0"/>
      </w:pPr>
      <w:r>
        <w:rPr>
          <w:rFonts w:ascii="Calibri" w:hAnsi="Calibri" w:eastAsia="Calibri"/>
          <w:color w:val="000000"/>
          <w:sz w:val="20"/>
        </w:rPr>
        <w:t>Identidade visual: usar a logo UNIASSELVI fornecida no projeto na abertura do documento, centralizada. A cor institucional principal adotada para títulos, cabeçalhos de tabelas e elementos de destaque é verde-teal #1F7A6C; a cor de apoio para preenchimentos de tabelas é cinza-claro #F2F2F2. Texto corrido permanece em preto #000000 e informações auxiliares podem usar cinza #5F5F5F.</w:t>
      </w:r>
    </w:p>
    <w:p>
      <w:pPr>
        <w:pStyle w:val="Heading1"/>
        <w:spacing w:line="240" w:lineRule="auto"/>
        <w:ind w:firstLine="0"/>
        <w:pBdr>
          <w:bottom w:val="single" w:sz="8" w:space="5" w:color="1F7A6C"/>
        </w:pBdr>
      </w:pPr>
      <w:r>
        <w:rPr>
          <w:rFonts w:ascii="Calibri" w:hAnsi="Calibri" w:eastAsia="Calibri"/>
          <w:b/>
          <w:color w:val="1F7A6C"/>
          <w:sz w:val="28"/>
        </w:rPr>
        <w:t>5. Hierarquia de títulos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35"/>
        <w:gridCol w:w="3135"/>
        <w:gridCol w:w="3135"/>
      </w:tblGrid>
      <w:tr>
        <w:trPr>
          <w:tblHeader w:val="true"/>
          <w:tblHeader w:val="true"/>
        </w:trPr>
        <w:tc>
          <w:tcPr>
            <w:tcW w:type="dxa" w:w="3135"/>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Nível</w:t>
            </w:r>
          </w:p>
        </w:tc>
        <w:tc>
          <w:tcPr>
            <w:tcW w:type="dxa" w:w="3135"/>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Uso</w:t>
            </w:r>
          </w:p>
        </w:tc>
        <w:tc>
          <w:tcPr>
            <w:tcW w:type="dxa" w:w="3135"/>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Formatação</w:t>
            </w:r>
          </w:p>
        </w:tc>
      </w:tr>
      <w:tr>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Título do documento</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Nome principal do documento</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Arial 16 pt, negrito, centralizado na abertura.</w:t>
            </w:r>
          </w:p>
        </w:tc>
      </w:tr>
      <w:tr>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Seção 1</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Seções principais</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Arial 14 pt, negrito, numeração decimal.</w:t>
            </w:r>
          </w:p>
        </w:tc>
      </w:tr>
      <w:tr>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Subseção 1.1</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Subdivisões das seções</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Arial 12 pt, negrito.</w:t>
            </w:r>
          </w:p>
        </w:tc>
      </w:tr>
      <w:tr>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Subsubseção 1.1.1</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Detalhamento pontual</w:t>
            </w:r>
          </w:p>
        </w:tc>
        <w:tc>
          <w:tcPr>
            <w:tcW w:type="dxa" w:w="3135"/>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Arial 12 pt, negrito.</w:t>
            </w:r>
          </w:p>
        </w:tc>
      </w:tr>
    </w:tbl>
    <w:p>
      <w:pPr>
        <w:spacing w:after="0" w:line="360" w:lineRule="auto"/>
        <w:ind w:firstLine="0"/>
      </w:pPr>
    </w:p>
    <w:p>
      <w:pPr>
        <w:spacing w:line="360" w:lineRule="auto"/>
        <w:ind w:firstLine="0"/>
      </w:pPr>
      <w:r>
        <w:rPr>
          <w:rFonts w:ascii="Calibri" w:hAnsi="Calibri" w:eastAsia="Calibri"/>
          <w:color w:val="000000"/>
          <w:sz w:val="20"/>
        </w:rPr>
        <w:t>A numeração deve ser hierárquica e consistente. Não criar um nível de título apenas para fins visuais: o nível deve representar uma divisão real do conteúdo.</w:t>
      </w:r>
    </w:p>
    <w:p>
      <w:pPr>
        <w:pStyle w:val="Heading1"/>
        <w:spacing w:line="240" w:lineRule="auto"/>
        <w:ind w:firstLine="0"/>
        <w:pBdr>
          <w:bottom w:val="single" w:sz="8" w:space="5" w:color="1F7A6C"/>
        </w:pBdr>
      </w:pPr>
      <w:r>
        <w:rPr>
          <w:rFonts w:ascii="Calibri" w:hAnsi="Calibri" w:eastAsia="Calibri"/>
          <w:b/>
          <w:color w:val="1F7A6C"/>
          <w:sz w:val="28"/>
        </w:rPr>
        <w:t>6. Parágrafos e listas</w:t>
      </w:r>
    </w:p>
    <w:p>
      <w:pPr>
        <w:pStyle w:val="ListBullet"/>
        <w:spacing w:line="360" w:lineRule="auto"/>
        <w:ind w:firstLine="0"/>
      </w:pPr>
      <w:r>
        <w:rPr>
          <w:rFonts w:ascii="Calibri" w:hAnsi="Calibri" w:eastAsia="Calibri"/>
          <w:color w:val="000000"/>
          <w:sz w:val="20"/>
        </w:rPr>
        <w:t>Texto corrido: Arial 12 pt, espaçamento 1,5 e recuo de primeira linha de 1,25 cm.</w:t>
      </w:r>
    </w:p>
    <w:p>
      <w:pPr>
        <w:pStyle w:val="ListBullet"/>
        <w:spacing w:line="360" w:lineRule="auto"/>
        <w:ind w:firstLine="0"/>
      </w:pPr>
      <w:r>
        <w:rPr>
          <w:rFonts w:ascii="Calibri" w:hAnsi="Calibri" w:eastAsia="Calibri"/>
          <w:color w:val="000000"/>
          <w:sz w:val="20"/>
        </w:rPr>
        <w:t>Listas: utilizar marcadores para itens sem ordem e numeração para sequências ou etapas.</w:t>
      </w:r>
    </w:p>
    <w:p>
      <w:pPr>
        <w:pStyle w:val="ListBullet"/>
        <w:spacing w:line="360" w:lineRule="auto"/>
        <w:ind w:firstLine="0"/>
      </w:pPr>
      <w:r>
        <w:rPr>
          <w:rFonts w:ascii="Calibri" w:hAnsi="Calibri" w:eastAsia="Calibri"/>
          <w:color w:val="000000"/>
          <w:sz w:val="20"/>
        </w:rPr>
        <w:t>Listas não devem receber recuo de primeira linha do corpo do texto.</w:t>
      </w:r>
    </w:p>
    <w:p>
      <w:pPr>
        <w:pStyle w:val="ListBullet"/>
        <w:spacing w:line="360" w:lineRule="auto"/>
        <w:ind w:firstLine="0"/>
      </w:pPr>
      <w:r>
        <w:rPr>
          <w:rFonts w:ascii="Calibri" w:hAnsi="Calibri" w:eastAsia="Calibri"/>
          <w:color w:val="000000"/>
          <w:sz w:val="20"/>
        </w:rPr>
        <w:t>Evitar espaços manuais repetidos para criar alinhamento.</w:t>
      </w:r>
    </w:p>
    <w:p>
      <w:pPr>
        <w:pStyle w:val="ListBullet"/>
        <w:spacing w:line="360" w:lineRule="auto"/>
        <w:ind w:firstLine="0"/>
      </w:pPr>
      <w:r>
        <w:rPr>
          <w:rFonts w:ascii="Calibri" w:hAnsi="Calibri" w:eastAsia="Calibri"/>
          <w:color w:val="000000"/>
          <w:sz w:val="20"/>
        </w:rPr>
        <w:t>Manter a terminologia original do projeto ao apenas formatar um documento; alterações de conteúdo devem ser deliberadas e registradas.</w:t>
      </w:r>
    </w:p>
    <w:p>
      <w:pPr>
        <w:pStyle w:val="Heading1"/>
        <w:spacing w:line="240" w:lineRule="auto"/>
        <w:ind w:firstLine="0"/>
        <w:pBdr>
          <w:bottom w:val="single" w:sz="8" w:space="5" w:color="1F7A6C"/>
        </w:pBdr>
      </w:pPr>
      <w:r>
        <w:rPr>
          <w:rFonts w:ascii="Calibri" w:hAnsi="Calibri" w:eastAsia="Calibri"/>
          <w:b/>
          <w:color w:val="1F7A6C"/>
          <w:sz w:val="28"/>
        </w:rPr>
        <w:t>7. Tabelas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02"/>
        <w:gridCol w:w="4702"/>
      </w:tblGrid>
      <w:tr>
        <w:trPr>
          <w:tblHeader w:val="true"/>
          <w:tblHeader w:val="true"/>
        </w:trPr>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Aspecto</w:t>
            </w:r>
          </w:p>
        </w:tc>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Padrão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Cabeçalho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Negrito, centralizado, fundo azul-claro discreto.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Texto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Arial 10 pt para manter tabelas legíveis sem alterar o corpo do documento.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Bordas</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Linhas finas e discretas.</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Alinhamento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Tabela centralizada na página.</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Cabeçalho repetido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Ativado para tabelas que ocupem mais de uma página.</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Conteúdo</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Colunas com títulos objetivos; evitar tabelas excessivamente largas.</w:t>
            </w:r>
          </w:p>
        </w:tc>
      </w:tr>
    </w:tbl>
    <w:p>
      <w:pPr>
        <w:spacing w:after="0" w:line="360" w:lineRule="auto"/>
        <w:ind w:firstLine="0"/>
      </w:pPr>
    </w:p>
    <w:p>
      <w:pPr>
        <w:pStyle w:val="Heading1"/>
        <w:spacing w:line="240" w:lineRule="auto"/>
        <w:ind w:firstLine="0"/>
        <w:pBdr>
          <w:bottom w:val="single" w:sz="8" w:space="5" w:color="1F7A6C"/>
        </w:pBdr>
      </w:pPr>
      <w:r>
        <w:rPr>
          <w:rFonts w:ascii="Calibri" w:hAnsi="Calibri" w:eastAsia="Calibri"/>
          <w:b/>
          <w:color w:val="1F7A6C"/>
          <w:sz w:val="28"/>
        </w:rPr>
        <w:t>8. Código, JSON e pseudocódigo</w:t>
      </w:r>
    </w:p>
    <w:p>
      <w:pPr>
        <w:spacing w:line="360" w:lineRule="auto"/>
        <w:ind w:firstLine="0"/>
      </w:pPr>
      <w:r>
        <w:rPr>
          <w:rFonts w:ascii="Calibri" w:hAnsi="Calibri" w:eastAsia="Calibri"/>
          <w:color w:val="000000"/>
          <w:sz w:val="20"/>
        </w:rPr>
        <w:t>Trechos técnicos devem permanecer visualmente distintos do texto corrido.</w:t>
      </w:r>
    </w:p>
    <w:p>
      <w:pPr>
        <w:pStyle w:val="ListBullet"/>
        <w:spacing w:line="360" w:lineRule="auto"/>
        <w:ind w:firstLine="0"/>
      </w:pPr>
      <w:r>
        <w:rPr>
          <w:rFonts w:ascii="Calibri" w:hAnsi="Calibri" w:eastAsia="Calibri"/>
          <w:color w:val="000000"/>
          <w:sz w:val="20"/>
        </w:rPr>
        <w:t>Fonte Consolas, 9,5 pt.</w:t>
      </w:r>
    </w:p>
    <w:p>
      <w:pPr>
        <w:pStyle w:val="ListBullet"/>
        <w:spacing w:line="360" w:lineRule="auto"/>
        <w:ind w:firstLine="0"/>
      </w:pPr>
      <w:r>
        <w:rPr>
          <w:rFonts w:ascii="Calibri" w:hAnsi="Calibri" w:eastAsia="Calibri"/>
          <w:color w:val="000000"/>
          <w:sz w:val="20"/>
        </w:rPr>
        <w:t>Espaçamento simples.</w:t>
      </w:r>
    </w:p>
    <w:p>
      <w:pPr>
        <w:pStyle w:val="ListBullet"/>
        <w:spacing w:line="360" w:lineRule="auto"/>
        <w:ind w:firstLine="0"/>
      </w:pPr>
      <w:r>
        <w:rPr>
          <w:rFonts w:ascii="Calibri" w:hAnsi="Calibri" w:eastAsia="Calibri"/>
          <w:color w:val="000000"/>
          <w:sz w:val="20"/>
        </w:rPr>
        <w:t>Recuo à esquerda de aproximadamente 1 cm.</w:t>
      </w:r>
    </w:p>
    <w:p>
      <w:pPr>
        <w:pStyle w:val="ListBullet"/>
        <w:spacing w:line="360" w:lineRule="auto"/>
        <w:ind w:firstLine="0"/>
      </w:pPr>
      <w:r>
        <w:rPr>
          <w:rFonts w:ascii="Calibri" w:hAnsi="Calibri" w:eastAsia="Calibri"/>
          <w:color w:val="000000"/>
          <w:sz w:val="20"/>
        </w:rPr>
        <w:t>Não justificar o bloco de código.</w:t>
      </w:r>
    </w:p>
    <w:p>
      <w:pPr>
        <w:pStyle w:val="ListBullet"/>
        <w:spacing w:line="360" w:lineRule="auto"/>
        <w:ind w:firstLine="0"/>
      </w:pPr>
      <w:r>
        <w:rPr>
          <w:rFonts w:ascii="Calibri" w:hAnsi="Calibri" w:eastAsia="Calibri"/>
          <w:color w:val="000000"/>
          <w:sz w:val="20"/>
        </w:rPr>
        <w:t>Preservar a grafia e a estrutura técnica do conteúdo fornecido.</w:t>
      </w:r>
    </w:p>
    <w:p>
      <w:pPr>
        <w:pStyle w:val="Heading1"/>
        <w:spacing w:line="240" w:lineRule="auto"/>
        <w:ind w:firstLine="0"/>
        <w:pBdr>
          <w:bottom w:val="single" w:sz="8" w:space="5" w:color="1F7A6C"/>
        </w:pBdr>
      </w:pPr>
      <w:r>
        <w:rPr>
          <w:rFonts w:ascii="Calibri" w:hAnsi="Calibri" w:eastAsia="Calibri"/>
          <w:b/>
          <w:color w:val="1F7A6C"/>
          <w:sz w:val="28"/>
        </w:rPr>
        <w:t>9. Notas e observações de contexto</w:t>
      </w:r>
    </w:p>
    <w:p>
      <w:pPr>
        <w:spacing w:line="360" w:lineRule="auto"/>
        <w:ind w:firstLine="0"/>
      </w:pPr>
      <w:r>
        <w:rPr>
          <w:rFonts w:ascii="Calibri" w:hAnsi="Calibri" w:eastAsia="Calibri"/>
          <w:color w:val="000000"/>
          <w:sz w:val="20"/>
        </w:rPr>
        <w:t>Notas explicativas que acompanham uma seção, mas não fazem parte do texto principal, podem ser apresentadas em bloco recuado, em itálico e com fonte ligeiramente menor. Esse recurso foi utilizado para preservar observações como as referências a etapas do roteiro e critérios de avaliação.</w:t>
      </w:r>
    </w:p>
    <w:p>
      <w:pPr>
        <w:pStyle w:val="Heading1"/>
        <w:spacing w:line="240" w:lineRule="auto"/>
        <w:ind w:firstLine="0"/>
        <w:pBdr>
          <w:bottom w:val="single" w:sz="8" w:space="5" w:color="1F7A6C"/>
        </w:pBdr>
      </w:pPr>
      <w:r>
        <w:rPr>
          <w:rFonts w:ascii="Calibri" w:hAnsi="Calibri" w:eastAsia="Calibri"/>
          <w:b/>
          <w:color w:val="1F7A6C"/>
          <w:sz w:val="28"/>
        </w:rPr>
        <w:t>10. Controle de versão</w:t>
      </w:r>
    </w:p>
    <w:p>
      <w:pPr>
        <w:spacing w:line="360" w:lineRule="auto"/>
        <w:ind w:firstLine="0"/>
      </w:pPr>
      <w:r>
        <w:rPr>
          <w:rFonts w:ascii="Calibri" w:hAnsi="Calibri" w:eastAsia="Calibri"/>
          <w:color w:val="000000"/>
          <w:sz w:val="20"/>
        </w:rPr>
        <w:t>Documentos que já possuem controle de versão devem manter uma seção final específica para isso. A tabela deve registrar, no mínimo, versão, data, item alterado e razão/impacto quando esses campos fizerem parte do documento original.</w:t>
      </w:r>
    </w:p>
    <w:p>
      <w:pPr>
        <w:pStyle w:val="Heading1"/>
        <w:spacing w:line="240" w:lineRule="auto"/>
        <w:ind w:firstLine="0"/>
        <w:pBdr>
          <w:bottom w:val="single" w:sz="8" w:space="5" w:color="1F7A6C"/>
        </w:pBdr>
      </w:pPr>
      <w:r>
        <w:rPr>
          <w:rFonts w:ascii="Calibri" w:hAnsi="Calibri" w:eastAsia="Calibri"/>
          <w:b/>
          <w:color w:val="1F7A6C"/>
          <w:sz w:val="28"/>
        </w:rPr>
        <w:t>11. Aplicação aos três documentos formatados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02"/>
        <w:gridCol w:w="4702"/>
      </w:tblGrid>
      <w:tr>
        <w:trPr>
          <w:tblHeader w:val="true"/>
          <w:tblHeader w:val="true"/>
        </w:trPr>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Documento gerado</w:t>
            </w:r>
          </w:p>
        </w:tc>
        <w:tc>
          <w:tcPr>
            <w:tcW w:type="dxa" w:w="4702"/>
            <w:shd w:fill="1F7A6C"/>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ind w:firstLine="0"/>
              <w:jc w:val="center"/>
            </w:pPr>
            <w:r>
              <w:rPr>
                <w:rFonts w:ascii="Calibri" w:hAnsi="Calibri" w:eastAsia="Calibri"/>
                <w:b/>
                <w:color w:val="FFFFFF"/>
                <w:sz w:val="20"/>
              </w:rPr>
              <w:t>Adaptações principais</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Registro de Decisões Arquiteturais</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Abertura institucional; tabela-resumo das ADRs; cada ADR apresentada como seção própria com tabela de Data, Status, Contexto, Decisão e Justificativa; cabeçalho/rodapé e paginação.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Documento de Arquitetura</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2F2F2"/>
          </w:tcPr>
          <w:p>
            <w:pPr>
              <w:spacing w:line="240" w:lineRule="auto" w:after="0"/>
              <w:ind w:firstLine="0"/>
            </w:pPr>
            <w:r>
              <w:rPr>
                <w:rFonts w:ascii="Calibri" w:hAnsi="Calibri" w:eastAsia="Calibri"/>
                <w:b w:val="0"/>
                <w:color w:val="000000"/>
                <w:sz w:val="20"/>
              </w:rPr>
              <w:t>Hierarquia 1 / 1.1 / 1.1.1; classes, algoritmo e estrutura de dados separados por seção; pseudocódigo e JSON em blocos monoespaçados; tabela de rastreabilidade; paginação.</w:t>
            </w:r>
          </w:p>
        </w:tc>
      </w:tr>
      <w:tr>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Padrão de Codificação da Equipe</w:t>
            </w:r>
          </w:p>
        </w:tc>
        <w:tc>
          <w:tcPr>
            <w:tcW w:type="dxa" w:w="4702"/>
            <w:vAlign w:val="center"/>
            <w:tcMar>
              <w:top w:w="80" w:type="dxa"/>
              <w:start w:w="100" w:type="dxa"/>
              <w:bottom w:w="80" w:type="dxa"/>
              <w:end w:w="100"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FFFFF"/>
          </w:tcPr>
          <w:p>
            <w:pPr>
              <w:spacing w:line="240" w:lineRule="auto" w:after="0"/>
              <w:ind w:firstLine="0"/>
            </w:pPr>
            <w:r>
              <w:rPr>
                <w:rFonts w:ascii="Calibri" w:hAnsi="Calibri" w:eastAsia="Calibri"/>
                <w:b w:val="0"/>
                <w:color w:val="000000"/>
                <w:sz w:val="20"/>
              </w:rPr>
              <w:t>Abertura institucional; organização das convenções em seções; tabela para SOLID e controle de versão; checklist preservado como itens marcáveis; blocos de código e paginação.</w:t>
            </w:r>
          </w:p>
        </w:tc>
      </w:tr>
    </w:tbl>
    <w:p>
      <w:pPr>
        <w:spacing w:after="0" w:line="360" w:lineRule="auto"/>
        <w:ind w:firstLine="0"/>
      </w:pPr>
    </w:p>
    <w:p>
      <w:pPr>
        <w:pStyle w:val="Heading1"/>
        <w:spacing w:line="240" w:lineRule="auto"/>
        <w:ind w:firstLine="0"/>
        <w:pBdr>
          <w:bottom w:val="single" w:sz="8" w:space="5" w:color="1F7A6C"/>
        </w:pBdr>
      </w:pPr>
      <w:r>
        <w:rPr>
          <w:rFonts w:ascii="Calibri" w:hAnsi="Calibri" w:eastAsia="Calibri"/>
          <w:b/>
          <w:color w:val="1F7A6C"/>
          <w:sz w:val="28"/>
        </w:rPr>
        <w:t>12. Regras de consistência para documentos futuros</w:t>
      </w:r>
    </w:p>
    <w:p>
      <w:pPr>
        <w:pStyle w:val="ListBullet"/>
        <w:spacing w:line="360" w:lineRule="auto"/>
        <w:ind w:firstLine="0"/>
      </w:pPr>
      <w:r>
        <w:rPr>
          <w:rFonts w:ascii="Calibri" w:hAnsi="Calibri" w:eastAsia="Calibri"/>
          <w:color w:val="000000"/>
          <w:sz w:val="20"/>
        </w:rPr>
        <w:t>Usar o mesmo nome institucional, curso e projeto dos documentos-base, salvo quando o contexto do documento exigir outro vínculo.</w:t>
      </w:r>
    </w:p>
    <w:p>
      <w:pPr>
        <w:pStyle w:val="ListBullet"/>
        <w:spacing w:line="360" w:lineRule="auto"/>
        <w:ind w:firstLine="0"/>
      </w:pPr>
      <w:r>
        <w:rPr>
          <w:rFonts w:ascii="Calibri" w:hAnsi="Calibri" w:eastAsia="Calibri"/>
          <w:color w:val="000000"/>
          <w:sz w:val="20"/>
        </w:rPr>
        <w:t>Manter a numeração decimal das seções.</w:t>
      </w:r>
    </w:p>
    <w:p>
      <w:pPr>
        <w:pStyle w:val="ListBullet"/>
        <w:spacing w:line="360" w:lineRule="auto"/>
        <w:ind w:firstLine="0"/>
      </w:pPr>
      <w:r>
        <w:rPr>
          <w:rFonts w:ascii="Calibri" w:hAnsi="Calibri" w:eastAsia="Calibri"/>
          <w:color w:val="000000"/>
          <w:sz w:val="20"/>
        </w:rPr>
        <w:t>Usar Arial como fonte principal.</w:t>
      </w:r>
    </w:p>
    <w:p>
      <w:pPr>
        <w:pStyle w:val="ListBullet"/>
        <w:spacing w:line="360" w:lineRule="auto"/>
        <w:ind w:firstLine="0"/>
      </w:pPr>
      <w:r>
        <w:rPr>
          <w:rFonts w:ascii="Calibri" w:hAnsi="Calibri" w:eastAsia="Calibri"/>
          <w:color w:val="000000"/>
          <w:sz w:val="20"/>
        </w:rPr>
        <w:t>Usar as mesmas margens e o mesmo cabeçalho/rodapé.</w:t>
      </w:r>
    </w:p>
    <w:p>
      <w:pPr>
        <w:pStyle w:val="ListBullet"/>
        <w:spacing w:line="360" w:lineRule="auto"/>
        <w:ind w:firstLine="0"/>
      </w:pPr>
      <w:r>
        <w:rPr>
          <w:rFonts w:ascii="Calibri" w:hAnsi="Calibri" w:eastAsia="Calibri"/>
          <w:color w:val="000000"/>
          <w:sz w:val="20"/>
        </w:rPr>
        <w:t>Usar tabelas para registros estruturados, matrizes e controles de versão.</w:t>
      </w:r>
    </w:p>
    <w:p>
      <w:pPr>
        <w:pStyle w:val="ListBullet"/>
        <w:spacing w:line="360" w:lineRule="auto"/>
        <w:ind w:firstLine="0"/>
      </w:pPr>
      <w:r>
        <w:rPr>
          <w:rFonts w:ascii="Calibri" w:hAnsi="Calibri" w:eastAsia="Calibri"/>
          <w:color w:val="000000"/>
          <w:sz w:val="20"/>
        </w:rPr>
        <w:t>Usar o mesmo tratamento visual para código, JSON e pseudocódigo.</w:t>
      </w:r>
    </w:p>
    <w:p>
      <w:pPr>
        <w:pStyle w:val="ListBullet"/>
        <w:spacing w:line="360" w:lineRule="auto"/>
        <w:ind w:firstLine="0"/>
      </w:pPr>
      <w:r>
        <w:rPr>
          <w:rFonts w:ascii="Calibri" w:hAnsi="Calibri" w:eastAsia="Calibri"/>
          <w:color w:val="000000"/>
          <w:sz w:val="20"/>
        </w:rPr>
        <w:t>Não alterar requisitos, decisões ou regras técnicas apenas para corrigir a formatação.</w:t>
      </w:r>
    </w:p>
    <w:p>
      <w:pPr>
        <w:pStyle w:val="ListBullet"/>
        <w:spacing w:line="360" w:lineRule="auto"/>
        <w:ind w:firstLine="0"/>
      </w:pPr>
      <w:r>
        <w:rPr>
          <w:rFonts w:ascii="Calibri" w:hAnsi="Calibri" w:eastAsia="Calibri"/>
          <w:color w:val="000000"/>
          <w:sz w:val="20"/>
        </w:rPr>
        <w:t>Quando houver mudança de conteúdo, atualizar também o controle de versão do documento, quando aplicável.</w:t>
      </w:r>
    </w:p>
    <w:p>
      <w:pPr>
        <w:pStyle w:val="ListBullet"/>
        <w:spacing w:line="360" w:lineRule="auto"/>
        <w:ind w:firstLine="0"/>
      </w:pPr>
      <w:r>
        <w:rPr>
          <w:rFonts w:ascii="Calibri" w:hAnsi="Calibri" w:eastAsia="Calibri"/>
          <w:color w:val="000000"/>
          <w:sz w:val="20"/>
        </w:rPr>
        <w:t>Antes de entregar uma nova versão, comparar os termos técnicos com o Documento de Requisitos e o Termo de Referência para evitar divergências silenciosas.</w:t>
      </w:r>
    </w:p>
    <w:p>
      <w:pPr>
        <w:pStyle w:val="Heading1"/>
        <w:spacing w:line="240" w:lineRule="auto"/>
        <w:ind w:firstLine="0"/>
        <w:pBdr>
          <w:bottom w:val="single" w:sz="8" w:space="5" w:color="1F7A6C"/>
        </w:pBdr>
      </w:pPr>
      <w:r>
        <w:rPr>
          <w:rFonts w:ascii="Calibri" w:hAnsi="Calibri" w:eastAsia="Calibri"/>
          <w:b/>
          <w:color w:val="1F7A6C"/>
          <w:sz w:val="28"/>
        </w:rPr>
        <w:t>13. Observação sobre ABNT e o padrão UNIASSELVI</w:t>
      </w:r>
    </w:p>
    <w:p>
      <w:pPr>
        <w:spacing w:line="360" w:lineRule="auto"/>
        <w:ind w:firstLine="0"/>
      </w:pPr>
      <w:r>
        <w:rPr>
          <w:rFonts w:ascii="Calibri" w:hAnsi="Calibri" w:eastAsia="Calibri"/>
          <w:color w:val="000000"/>
          <w:sz w:val="20"/>
        </w:rPr>
        <w:t>A formatação foi construída para combinar convenções acadêmicas usuais associadas à apresentação ABNT com o padrão visual efetivamente presente nos documentos fornecidos do projeto. Onde os documentos-base apresentaram uma escolha específica de apresentação, essa escolha foi priorizada para preservar a consistência interna do TCC.</w:t>
      </w:r>
    </w:p>
    <w:sectPr w:rsidR="00FC693F" w:rsidRPr="0006063C" w:rsidSect="00034616">
      <w:headerReference w:type="default" r:id="rId9"/>
      <w:footerReference w:type="default" r:id="rId10"/>
      <w:pgSz w:w="12240" w:h="15840"/>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F5F5F"/>
        <w:sz w:val="18"/>
      </w:rPr>
      <w:t xml:space="preserve">UNIASSELVI — Engenharia de Software | Página </w:t>
    </w:r>
    <w:r>
      <w:rPr>
        <w:rFonts w:ascii="Calibri" w:hAnsi="Calibri" w:eastAsia="Calibri"/>
        <w:b w:val="0"/>
        <w:color w:val="5F5F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FBFBF"/>
      </w:pBdr>
    </w:pPr>
    <w:r>
      <w:rPr>
        <w:rFonts w:ascii="Calibri" w:hAnsi="Calibri" w:eastAsia="Calibri"/>
        <w:b w:val="0"/>
        <w:i/>
        <w:color w:val="5F5F5F"/>
        <w:sz w:val="18"/>
      </w:rPr>
      <w:t>Guia de Referência de Formatação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0"/>
    </w:pPr>
    <w:rPr>
      <w:rFonts w:ascii="Calibri" w:hAnsi="Calibri" w:eastAsia="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ind w:firstLine="0"/>
      <w:outlineLvl w:val="0"/>
    </w:pPr>
    <w:rPr>
      <w:rFonts w:asciiTheme="majorHAnsi" w:eastAsiaTheme="majorEastAsia" w:hAnsiTheme="majorHAnsi" w:cstheme="majorBidi" w:ascii="Calibri" w:hAnsi="Calibri" w:eastAsia="Calibri"/>
      <w:b/>
      <w:bCs/>
      <w:color w:val="1F7A6C"/>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ind w:firstLine="0"/>
      <w:outlineLvl w:val="1"/>
    </w:pPr>
    <w:rPr>
      <w:rFonts w:asciiTheme="majorHAnsi" w:eastAsiaTheme="majorEastAsia" w:hAnsiTheme="majorHAnsi" w:cstheme="majorBidi" w:ascii="Calibri" w:hAnsi="Calibri" w:eastAsia="Calibri"/>
      <w:b/>
      <w:bCs/>
      <w:color w:val="1F7A6C"/>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outlineLvl w:val="2"/>
    </w:pPr>
    <w:rPr>
      <w:rFonts w:asciiTheme="majorHAnsi" w:eastAsiaTheme="majorEastAsia" w:hAnsiTheme="majorHAnsi" w:cstheme="majorBidi" w:ascii="Calibri" w:hAnsi="Calibri" w:eastAsia="Calibri"/>
      <w:b/>
      <w:bCs/>
      <w:color w:val="1F7A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360" w:lineRule="auto" w:before="0"/>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line="240" w:lineRule="auto" w:before="80" w:after="80"/>
      <w:ind w:left="567" w:right="283"/>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