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00000"/>
          <w:sz w:val="24"/>
        </w:rPr>
        <w:t>CENTRO UNIVERSITÁRIO LEONARDO DA VINCI — UNIASSELVI</w:t>
      </w:r>
    </w:p>
    <w:p>
      <w:pPr>
        <w:jc w:val="center"/>
      </w:pPr>
      <w:r>
        <w:rPr>
          <w:rFonts w:ascii="Calibri" w:hAnsi="Calibri" w:eastAsia="Calibri"/>
          <w:b w:val="0"/>
          <w:color w:val="000000"/>
          <w:sz w:val="22"/>
        </w:rPr>
        <w:t>Engenharia de Software — 7º período</w:t>
      </w:r>
    </w:p>
    <w:p>
      <w:pPr>
        <w:spacing w:before="80" w:after="120" w:line="360" w:lineRule="auto"/>
        <w:ind w:firstLine="0"/>
        <w:jc w:val="center"/>
      </w:pPr>
      <w:r>
        <w:rPr>
          <w:rFonts w:ascii="Calibri" w:hAnsi="Calibri" w:eastAsia="Calibri"/>
          <w:color w:val="000000"/>
          <w:sz w:val="20"/>
        </w:rPr>
        <w:drawing>
          <wp:inline xmlns:a="http://schemas.openxmlformats.org/drawingml/2006/main" xmlns:pic="http://schemas.openxmlformats.org/drawingml/2006/picture">
            <wp:extent cx="1800000" cy="12836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f83599-7b34-4a52-851a-3910f6c86b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83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hAnsi="Calibri" w:eastAsia="Calibri"/>
          <w:b/>
          <w:color w:val="1F7A6C"/>
          <w:sz w:val="32"/>
        </w:rPr>
        <w:t>PADRÃO DE CODIFICAÇÃO DA EQUIPE</w:t>
      </w:r>
    </w:p>
    <w:p>
      <w:pPr>
        <w:spacing w:line="360" w:lineRule="auto"/>
        <w:ind w:firstLine="0"/>
        <w:jc w:val="center"/>
      </w:pPr>
      <w:r>
        <w:rPr>
          <w:rFonts w:ascii="Calibri" w:hAnsi="Calibri" w:eastAsia="Calibri"/>
          <w:color w:val="000000"/>
          <w:sz w:val="20"/>
        </w:rPr>
        <w:t>Aplicativo de Detecção de Tentativas de Phishing por Correio Eletrônico — Etapa 9 do Roteiro de Execução (Fase 2)</w:t>
      </w:r>
    </w:p>
    <w:p>
      <w:pPr>
        <w:spacing w:line="360" w:lineRule="auto"/>
        <w:ind w:firstLine="0"/>
      </w:pPr>
    </w:p>
    <w:p>
      <w:pPr>
        <w:spacing w:line="360" w:lineRule="auto"/>
        <w:ind w:firstLine="0"/>
        <w:jc w:val="center"/>
      </w:pPr>
      <w:r>
        <w:rPr>
          <w:rFonts w:ascii="Calibri" w:hAnsi="Calibri" w:eastAsia="Calibri"/>
          <w:b/>
          <w:color w:val="000000"/>
          <w:sz w:val="20"/>
        </w:rPr>
        <w:t xml:space="preserve">Projeto: </w:t>
      </w:r>
      <w:r>
        <w:rPr>
          <w:rFonts w:ascii="Calibri" w:hAnsi="Calibri" w:eastAsia="Calibri"/>
          <w:color w:val="000000"/>
          <w:sz w:val="20"/>
        </w:rPr>
        <w:t>Aplicativo de Detecção de Tentativas de Phishing por Correio Eletrônico</w:t>
      </w:r>
    </w:p>
    <w:p>
      <w:pPr>
        <w:spacing w:line="360" w:lineRule="auto"/>
        <w:ind w:firstLine="0"/>
        <w:jc w:val="center"/>
      </w:pPr>
      <w:r>
        <w:rPr>
          <w:rFonts w:ascii="Calibri" w:hAnsi="Calibri" w:eastAsia="Calibri"/>
          <w:b/>
          <w:color w:val="000000"/>
          <w:sz w:val="20"/>
        </w:rPr>
        <w:t xml:space="preserve">Versão: </w:t>
      </w:r>
      <w:r>
        <w:rPr>
          <w:rFonts w:ascii="Calibri" w:hAnsi="Calibri" w:eastAsia="Calibri"/>
          <w:color w:val="000000"/>
          <w:sz w:val="20"/>
        </w:rPr>
        <w:t>1.0</w:t>
      </w:r>
    </w:p>
    <w:p>
      <w:pPr>
        <w:spacing w:line="360" w:lineRule="auto"/>
        <w:ind w:firstLine="0"/>
        <w:jc w:val="center"/>
      </w:pPr>
      <w:r>
        <w:rPr>
          <w:rFonts w:ascii="Calibri" w:hAnsi="Calibri" w:eastAsia="Calibri"/>
          <w:b/>
          <w:color w:val="000000"/>
          <w:sz w:val="20"/>
        </w:rPr>
        <w:t xml:space="preserve">Data de emissão: </w:t>
      </w:r>
      <w:r>
        <w:rPr>
          <w:rFonts w:ascii="Calibri" w:hAnsi="Calibri" w:eastAsia="Calibri"/>
          <w:color w:val="000000"/>
          <w:sz w:val="20"/>
        </w:rPr>
        <w:t>25/09/2026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br w:type="page"/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Equipe: Ethan Buttazzi (projetista, pesquisador e implementador). Sem revisão por pares — o checklist da seção 6 substitui a revisão cruzada.</w:t>
      </w:r>
    </w:p>
    <w:p>
      <w:pPr>
        <w:pStyle w:val="Heading1"/>
        <w:spacing w:line="240" w:lineRule="auto"/>
        <w:ind w:firstLine="0"/>
        <w:pBdr>
          <w:bottom w:val="single" w:sz="8" w:space="5" w:color="1F7A6C"/>
        </w:pBdr>
      </w:pPr>
      <w:r>
        <w:rPr>
          <w:rFonts w:ascii="Calibri" w:hAnsi="Calibri" w:eastAsia="Calibri"/>
          <w:b/>
          <w:color w:val="1F7A6C"/>
          <w:sz w:val="28"/>
        </w:rPr>
        <w:t>1. Linguagem e nomenclatura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Convenções oficiais da Microsoft para C#/.NET:</w:t>
      </w:r>
    </w:p>
    <w:p>
      <w:pPr>
        <w:pStyle w:val="ListBullet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PascalCase — classes, interfaces (prefixo `I`), métodos, propriedades, namespaces.</w:t>
      </w:r>
    </w:p>
    <w:p>
      <w:pPr>
        <w:pStyle w:val="ListBullet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camelCase — variáveis locais e parâmetros.</w:t>
      </w:r>
    </w:p>
    <w:p>
      <w:pPr>
        <w:pStyle w:val="ListBullet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_camelCase — campos privados (prefixo `_`).</w:t>
      </w:r>
    </w:p>
    <w:p>
      <w:pPr>
        <w:pStyle w:val="ListBullet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Nomes em português para conceitos de domínio (`MensagemRecebida`, `TemplateEmpresa`), consistentes com o Documento de Requisitos; termos técnicos de infraestrutura podem seguir a convenção da própria biblioteca (ex.: `Repository`, `Service`) quando fizer sentido.</w:t>
      </w:r>
    </w:p>
    <w:p>
      <w:pPr>
        <w:pStyle w:val="Heading1"/>
        <w:spacing w:line="240" w:lineRule="auto"/>
        <w:ind w:firstLine="0"/>
        <w:pBdr>
          <w:bottom w:val="single" w:sz="8" w:space="5" w:color="1F7A6C"/>
        </w:pBdr>
      </w:pPr>
      <w:r>
        <w:rPr>
          <w:rFonts w:ascii="Calibri" w:hAnsi="Calibri" w:eastAsia="Calibri"/>
          <w:b/>
          <w:color w:val="1F7A6C"/>
          <w:sz w:val="28"/>
        </w:rPr>
        <w:t>2. Organização do projeto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Pastas por camada, refletindo desde já a arquitetura que será formalizada na Etapa 15: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/Domain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/Application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/Infrastructure</w:t>
      </w:r>
    </w:p>
    <w:p>
      <w:pPr>
        <w:pStyle w:val="Código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/Presentation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Um namespace por camada. Nenhuma classe de `Domain` referencia `Infrastructure` ou `Presentation`.</w:t>
      </w:r>
    </w:p>
    <w:p>
      <w:pPr>
        <w:pStyle w:val="Heading1"/>
        <w:spacing w:line="240" w:lineRule="auto"/>
        <w:ind w:firstLine="0"/>
        <w:pBdr>
          <w:bottom w:val="single" w:sz="8" w:space="5" w:color="1F7A6C"/>
        </w:pBdr>
      </w:pPr>
      <w:r>
        <w:rPr>
          <w:rFonts w:ascii="Calibri" w:hAnsi="Calibri" w:eastAsia="Calibri"/>
          <w:b/>
          <w:color w:val="1F7A6C"/>
          <w:sz w:val="28"/>
        </w:rPr>
        <w:t>3. Princípios SOLID aplicados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702"/>
        <w:gridCol w:w="4702"/>
      </w:tblGrid>
      <w:tr>
        <w:trPr>
          <w:tblHeader w:val="true"/>
          <w:tblHeader w:val="true"/>
        </w:trPr>
        <w:tc>
          <w:tcPr>
            <w:tcW w:type="dxa" w:w="4702"/>
            <w:shd w:fill="1F7A6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Princípio</w:t>
            </w:r>
          </w:p>
        </w:tc>
        <w:tc>
          <w:tcPr>
            <w:tcW w:type="dxa" w:w="4702"/>
            <w:shd w:fill="1F7A6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Como se aplica aqui</w:t>
            </w:r>
          </w:p>
        </w:tc>
      </w:tr>
      <w:tr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S — Responsabilidade única</w:t>
            </w:r>
          </w:p>
        </w:tc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Cada classe/serviço faz uma coisa (ex.: `ValidadorDeHyperlink` só valida; não notifica, não grava).</w:t>
            </w:r>
          </w:p>
        </w:tc>
      </w:tr>
      <w:tr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O — Aberto/fechado</w:t>
            </w:r>
          </w:p>
        </w:tc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Novas checagens de RF-07 devem poder ser adicionadas sem alterar as já existentes (cada checagem isolada em seu próprio método).</w:t>
            </w:r>
          </w:p>
        </w:tc>
      </w:tr>
      <w:tr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L — Substituição de Liskov</w:t>
            </w:r>
          </w:p>
        </w:tc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Qualquer implementação de uma interface de repositório substitui outra sem quebrar quem a usa (ex.: implementação real e uma implementação em memória para teste).</w:t>
            </w:r>
          </w:p>
        </w:tc>
      </w:tr>
      <w:tr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 — Segregação de interface</w:t>
            </w:r>
          </w:p>
        </w:tc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2F2F2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Interfaces pequenas e específicas — um repositório não carrega métodos que só outro usa.</w:t>
            </w:r>
          </w:p>
        </w:tc>
      </w:tr>
      <w:tr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D — Inversão de dependência</w:t>
            </w:r>
          </w:p>
        </w:tc>
        <w:tc>
          <w:tcPr>
            <w:tcW w:type="dxa" w:w="4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`Domain` declara as interfaces de repositório de que precisa; `Infrastructure` as implementa e depende do domínio, nunca o contrário.</w:t>
            </w:r>
          </w:p>
        </w:tc>
      </w:tr>
    </w:tbl>
    <w:p>
      <w:pPr>
        <w:spacing w:after="0" w:line="360" w:lineRule="auto"/>
        <w:ind w:firstLine="0"/>
      </w:pPr>
    </w:p>
    <w:p>
      <w:pPr>
        <w:pStyle w:val="Heading1"/>
        <w:spacing w:line="240" w:lineRule="auto"/>
        <w:ind w:firstLine="0"/>
        <w:pBdr>
          <w:bottom w:val="single" w:sz="8" w:space="5" w:color="1F7A6C"/>
        </w:pBdr>
      </w:pPr>
      <w:r>
        <w:rPr>
          <w:rFonts w:ascii="Calibri" w:hAnsi="Calibri" w:eastAsia="Calibri"/>
          <w:b/>
          <w:color w:val="1F7A6C"/>
          <w:sz w:val="28"/>
        </w:rPr>
        <w:t>4. Controle de versão</w:t>
      </w:r>
    </w:p>
    <w:p>
      <w:pPr>
        <w:pStyle w:val="ListBullet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Repositório Git único.</w:t>
      </w:r>
    </w:p>
    <w:p>
      <w:pPr>
        <w:pStyle w:val="ListBullet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Um branch por funcionalidade: `feature/f-XX-nome-curto`, referenciando F-01 a F-08 (Documento de Requisitos, seção 7).</w:t>
      </w:r>
    </w:p>
    <w:p>
      <w:pPr>
        <w:pStyle w:val="ListBullet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Commits pequenos e descritivos — um por incremento funcional verificável.</w:t>
      </w:r>
    </w:p>
    <w:p>
      <w:pPr>
        <w:pStyle w:val="ListBullet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Mesclagem à `main` somente quando o card atinge a Definition of Done (Documento de Requisitos, seção 12).</w:t>
      </w:r>
    </w:p>
    <w:p>
      <w:pPr>
        <w:pStyle w:val="Heading1"/>
        <w:spacing w:line="240" w:lineRule="auto"/>
        <w:ind w:firstLine="0"/>
        <w:pBdr>
          <w:bottom w:val="single" w:sz="8" w:space="5" w:color="1F7A6C"/>
        </w:pBdr>
      </w:pPr>
      <w:r>
        <w:rPr>
          <w:rFonts w:ascii="Calibri" w:hAnsi="Calibri" w:eastAsia="Calibri"/>
          <w:b/>
          <w:color w:val="1F7A6C"/>
          <w:sz w:val="28"/>
        </w:rPr>
        <w:t>5. Segurança</w:t>
      </w:r>
    </w:p>
    <w:p>
      <w:pPr>
        <w:pStyle w:val="ListBullet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Nenhuma credencial, senha, client secret ou token OAuth2 fica hardcoded no código (regra herdada diretamente da DoD).</w:t>
      </w:r>
    </w:p>
    <w:p>
      <w:pPr>
        <w:pStyle w:val="ListBullet"/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Segredos ficam fora do controle de versão (variáveis de ambiente ou arquivo de configuração local ignorado pelo Git).</w:t>
      </w:r>
    </w:p>
    <w:p>
      <w:pPr>
        <w:pStyle w:val="Heading1"/>
        <w:spacing w:line="240" w:lineRule="auto"/>
        <w:ind w:firstLine="0"/>
        <w:pBdr>
          <w:bottom w:val="single" w:sz="8" w:space="5" w:color="1F7A6C"/>
        </w:pBdr>
      </w:pPr>
      <w:r>
        <w:rPr>
          <w:rFonts w:ascii="Calibri" w:hAnsi="Calibri" w:eastAsia="Calibri"/>
          <w:b/>
          <w:color w:val="1F7A6C"/>
          <w:sz w:val="28"/>
        </w:rPr>
        <w:t>6. Checklist de auto-revisão (antes de mesclar à main)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☐ Nomenclatura segue a seção 1.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☐ A classe está na pasta/camada certa (seção 2) e não importa nada de uma camada "de fora para dentro" do domínio.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☐ Nenhum princípio SOLID da seção 3 foi violado deliberadamente sem justificativa.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☐ Nenhum segredo hardcoded.</w:t>
      </w:r>
    </w:p>
    <w:p>
      <w:pPr>
        <w:spacing w:line="360" w:lineRule="auto"/>
        <w:ind w:firstLine="0"/>
      </w:pPr>
      <w:r>
        <w:rPr>
          <w:rFonts w:ascii="Calibri" w:hAnsi="Calibri" w:eastAsia="Calibri"/>
          <w:color w:val="000000"/>
          <w:sz w:val="20"/>
        </w:rPr>
        <w:t>☐ Commit pequeno, com mensagem descritiva.</w:t>
      </w:r>
    </w:p>
    <w:p>
      <w:pPr>
        <w:pStyle w:val="Heading1"/>
        <w:spacing w:line="240" w:lineRule="auto"/>
        <w:ind w:firstLine="0"/>
        <w:pBdr>
          <w:bottom w:val="single" w:sz="8" w:space="5" w:color="1F7A6C"/>
        </w:pBdr>
      </w:pPr>
      <w:r>
        <w:rPr>
          <w:rFonts w:ascii="Calibri" w:hAnsi="Calibri" w:eastAsia="Calibri"/>
          <w:b/>
          <w:color w:val="1F7A6C"/>
          <w:sz w:val="28"/>
        </w:rPr>
        <w:t>Controle de Versão do Documento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351"/>
        <w:gridCol w:w="2351"/>
        <w:gridCol w:w="2351"/>
        <w:gridCol w:w="2351"/>
      </w:tblGrid>
      <w:tr>
        <w:trPr>
          <w:tblHeader w:val="true"/>
          <w:tblHeader w:val="true"/>
        </w:trPr>
        <w:tc>
          <w:tcPr>
            <w:tcW w:type="dxa" w:w="2351"/>
            <w:shd w:fill="1F7A6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Versão</w:t>
            </w:r>
          </w:p>
        </w:tc>
        <w:tc>
          <w:tcPr>
            <w:tcW w:type="dxa" w:w="2351"/>
            <w:shd w:fill="1F7A6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Data</w:t>
            </w:r>
          </w:p>
        </w:tc>
        <w:tc>
          <w:tcPr>
            <w:tcW w:type="dxa" w:w="2351"/>
            <w:shd w:fill="1F7A6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Item alterado</w:t>
            </w:r>
          </w:p>
        </w:tc>
        <w:tc>
          <w:tcPr>
            <w:tcW w:type="dxa" w:w="2351"/>
            <w:shd w:fill="1F7A6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Razão e impacto</w:t>
            </w:r>
          </w:p>
        </w:tc>
      </w:tr>
      <w:tr>
        <w:tc>
          <w:tcPr>
            <w:tcW w:type="dxa" w:w="23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1.0</w:t>
            </w:r>
          </w:p>
        </w:tc>
        <w:tc>
          <w:tcPr>
            <w:tcW w:type="dxa" w:w="23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25/09/2026</w:t>
            </w:r>
          </w:p>
        </w:tc>
        <w:tc>
          <w:tcPr>
            <w:tcW w:type="dxa" w:w="23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Emissão inicial</w:t>
            </w:r>
          </w:p>
        </w:tc>
        <w:tc>
          <w:tcPr>
            <w:tcW w:type="dxa" w:w="23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line="240" w:lineRule="auto" w:after="0"/>
              <w:ind w:firstLine="0"/>
            </w:pPr>
            <w:r>
              <w:rPr>
                <w:rFonts w:ascii="Calibri" w:hAnsi="Calibri" w:eastAsia="Calibri"/>
                <w:b w:val="0"/>
                <w:color w:val="000000"/>
                <w:sz w:val="20"/>
              </w:rPr>
              <w:t>Elaborado para a Etapa 9 do Roteiro de Execução (Fase 2 — Decisões técnicas de base), seguindo convenções .NET e princípios SOLID.</w:t>
            </w:r>
          </w:p>
        </w:tc>
      </w:tr>
    </w:tbl>
    <w:p>
      <w:pPr>
        <w:spacing w:after="0" w:line="360" w:lineRule="auto"/>
        <w:ind w:firstLine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5F5F5F"/>
        <w:sz w:val="18"/>
      </w:rPr>
      <w:t xml:space="preserve">UNIASSELVI — Engenharia de Software | Página </w:t>
    </w:r>
    <w:r>
      <w:rPr>
        <w:rFonts w:ascii="Calibri" w:hAnsi="Calibri" w:eastAsia="Calibri"/>
        <w:b w:val="0"/>
        <w:color w:val="5F5F5F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BFBFBF"/>
      </w:pBdr>
    </w:pPr>
    <w:r>
      <w:rPr>
        <w:rFonts w:ascii="Calibri" w:hAnsi="Calibri" w:eastAsia="Calibri"/>
        <w:b w:val="0"/>
        <w:i/>
        <w:color w:val="5F5F5F"/>
        <w:sz w:val="18"/>
      </w:rPr>
      <w:t>Padrão de Codificação da Equipe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0"/>
    </w:pPr>
    <w:rPr>
      <w:rFonts w:ascii="Calibri" w:hAnsi="Calibri" w:eastAsia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40" w:lineRule="auto"/>
      <w:ind w:firstLine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7A6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ind w:firstLine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7A6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ind w:firstLine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7A6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36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pPr>
      <w:spacing w:line="240" w:lineRule="auto" w:before="80" w:after="80"/>
      <w:ind w:left="567" w:right="283"/>
    </w:pPr>
    <w:rPr>
      <w:rFonts w:ascii="Consolas" w:hAnsi="Consolas" w:eastAsia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