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000000"/>
          <w:sz w:val="24"/>
        </w:rPr>
        <w:t>CENTRO UNIVERSITÁRIO LEONARDO DA VINCI — UNIASSELVI</w:t>
      </w:r>
    </w:p>
    <w:p>
      <w:pPr>
        <w:jc w:val="center"/>
      </w:pPr>
      <w:r>
        <w:rPr>
          <w:rFonts w:ascii="Calibri" w:hAnsi="Calibri" w:eastAsia="Calibri"/>
          <w:b w:val="0"/>
          <w:color w:val="000000"/>
          <w:sz w:val="22"/>
        </w:rPr>
        <w:t>Engenharia de Software — 7º período</w:t>
      </w:r>
    </w:p>
    <w:p>
      <w:pPr>
        <w:spacing w:before="80" w:after="120" w:line="360" w:lineRule="auto"/>
        <w:ind w:firstLine="0"/>
        <w:jc w:val="center"/>
      </w:pPr>
      <w:r>
        <w:rPr>
          <w:rFonts w:ascii="Calibri" w:hAnsi="Calibri" w:eastAsia="Calibri"/>
          <w:color w:val="000000"/>
          <w:sz w:val="20"/>
        </w:rPr>
        <w:drawing>
          <wp:inline xmlns:a="http://schemas.openxmlformats.org/drawingml/2006/main" xmlns:pic="http://schemas.openxmlformats.org/drawingml/2006/picture">
            <wp:extent cx="1800000" cy="12836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8f83599-7b34-4a52-851a-3910f6c86b2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2836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0"/>
        <w:jc w:val="center"/>
      </w:pPr>
      <w:r>
        <w:rPr>
          <w:rFonts w:ascii="Calibri" w:hAnsi="Calibri" w:eastAsia="Calibri"/>
          <w:b/>
          <w:color w:val="1F7A6C"/>
          <w:sz w:val="32"/>
        </w:rPr>
        <w:t>REGISTRO DE DECISÕES ARQUITETURAIS</w:t>
      </w:r>
    </w:p>
    <w:p>
      <w:pPr>
        <w:spacing w:line="360" w:lineRule="auto"/>
        <w:ind w:firstLine="0"/>
        <w:jc w:val="center"/>
      </w:pPr>
      <w:r>
        <w:rPr>
          <w:rFonts w:ascii="Calibri" w:hAnsi="Calibri" w:eastAsia="Calibri"/>
          <w:color w:val="000000"/>
          <w:sz w:val="20"/>
        </w:rPr>
        <w:t>Aplicativo de Detecção de Tentativas de Phishing por Correio Eletrônico. Documento único, addendado a cada nova decisão — não um arquivo por ADR.</w:t>
      </w:r>
    </w:p>
    <w:p>
      <w:pPr>
        <w:spacing w:line="360" w:lineRule="auto"/>
        <w:ind w:firstLine="0"/>
      </w:pPr>
    </w:p>
    <w:p>
      <w:pPr>
        <w:spacing w:line="360" w:lineRule="auto"/>
        <w:ind w:firstLine="0"/>
        <w:jc w:val="center"/>
      </w:pPr>
      <w:r>
        <w:rPr>
          <w:rFonts w:ascii="Calibri" w:hAnsi="Calibri" w:eastAsia="Calibri"/>
          <w:b/>
          <w:color w:val="000000"/>
          <w:sz w:val="20"/>
        </w:rPr>
        <w:t xml:space="preserve">Projeto: </w:t>
      </w:r>
      <w:r>
        <w:rPr>
          <w:rFonts w:ascii="Calibri" w:hAnsi="Calibri" w:eastAsia="Calibri"/>
          <w:color w:val="000000"/>
          <w:sz w:val="20"/>
        </w:rPr>
        <w:t>Aplicativo de Detecção de Tentativas de Phishing por Correio Eletrônico</w:t>
      </w:r>
    </w:p>
    <w:p>
      <w:pPr>
        <w:spacing w:line="360" w:lineRule="auto"/>
        <w:ind w:firstLine="0"/>
        <w:jc w:val="center"/>
      </w:pPr>
      <w:r>
        <w:rPr>
          <w:rFonts w:ascii="Calibri" w:hAnsi="Calibri" w:eastAsia="Calibri"/>
          <w:b/>
          <w:color w:val="000000"/>
          <w:sz w:val="20"/>
        </w:rPr>
        <w:t xml:space="preserve">Versão: </w:t>
      </w:r>
      <w:r>
        <w:rPr>
          <w:rFonts w:ascii="Calibri" w:hAnsi="Calibri" w:eastAsia="Calibri"/>
          <w:color w:val="000000"/>
          <w:sz w:val="20"/>
        </w:rPr>
        <w:t>1.0</w:t>
      </w:r>
    </w:p>
    <w:p>
      <w:pPr>
        <w:spacing w:line="360" w:lineRule="auto"/>
        <w:ind w:firstLine="0"/>
        <w:jc w:val="center"/>
      </w:pPr>
      <w:r>
        <w:rPr>
          <w:rFonts w:ascii="Calibri" w:hAnsi="Calibri" w:eastAsia="Calibri"/>
          <w:b/>
          <w:color w:val="000000"/>
          <w:sz w:val="20"/>
        </w:rPr>
        <w:t xml:space="preserve">Data de emissão: </w:t>
      </w:r>
      <w:r>
        <w:rPr>
          <w:rFonts w:ascii="Calibri" w:hAnsi="Calibri" w:eastAsia="Calibri"/>
          <w:color w:val="000000"/>
          <w:sz w:val="20"/>
        </w:rPr>
        <w:t>28/09/2026</w:t>
      </w:r>
    </w:p>
    <w:p>
      <w:pPr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br w:type="page"/>
      </w:r>
    </w:p>
    <w:p>
      <w:pPr>
        <w:pStyle w:val="Heading1"/>
        <w:spacing w:line="240" w:lineRule="auto"/>
        <w:ind w:firstLine="0"/>
        <w:pBdr>
          <w:bottom w:val="single" w:sz="8" w:space="5" w:color="1F7A6C"/>
        </w:pBdr>
      </w:pPr>
      <w:r>
        <w:rPr>
          <w:rFonts w:ascii="Calibri" w:hAnsi="Calibri" w:eastAsia="Calibri"/>
          <w:b/>
          <w:color w:val="1F7A6C"/>
          <w:sz w:val="28"/>
        </w:rPr>
        <w:t>Registro de decisões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135"/>
        <w:gridCol w:w="3135"/>
        <w:gridCol w:w="3135"/>
      </w:tblGrid>
      <w:tr>
        <w:trPr>
          <w:tblHeader w:val="true"/>
          <w:tblHeader w:val="true"/>
        </w:trPr>
        <w:tc>
          <w:tcPr>
            <w:tcW w:type="dxa" w:w="3135"/>
            <w:shd w:fill="1F7A6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Nº</w:t>
            </w:r>
          </w:p>
        </w:tc>
        <w:tc>
          <w:tcPr>
            <w:tcW w:type="dxa" w:w="3135"/>
            <w:shd w:fill="1F7A6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Decisão</w:t>
            </w:r>
          </w:p>
        </w:tc>
        <w:tc>
          <w:tcPr>
            <w:tcW w:type="dxa" w:w="3135"/>
            <w:shd w:fill="1F7A6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31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line="240" w:lineRule="auto" w:after="0"/>
              <w:ind w:firstLine="0"/>
            </w:pPr>
            <w:r>
              <w:rPr>
                <w:rFonts w:ascii="Calibri" w:hAnsi="Calibri" w:eastAsia="Calibri"/>
                <w:b w:val="0"/>
                <w:color w:val="000000"/>
                <w:sz w:val="20"/>
              </w:rPr>
              <w:t>0001</w:t>
            </w:r>
          </w:p>
        </w:tc>
        <w:tc>
          <w:tcPr>
            <w:tcW w:type="dxa" w:w="31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line="240" w:lineRule="auto" w:after="0"/>
              <w:ind w:firstLine="0"/>
            </w:pPr>
            <w:r>
              <w:rPr>
                <w:rFonts w:ascii="Calibri" w:hAnsi="Calibri" w:eastAsia="Calibri"/>
                <w:b w:val="0"/>
                <w:color w:val="000000"/>
                <w:sz w:val="20"/>
              </w:rPr>
              <w:t>Linguagem e plataforma: C# / .NET</w:t>
            </w:r>
          </w:p>
        </w:tc>
        <w:tc>
          <w:tcPr>
            <w:tcW w:type="dxa" w:w="31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line="240" w:lineRule="auto" w:after="0"/>
              <w:ind w:firstLine="0"/>
            </w:pPr>
            <w:r>
              <w:rPr>
                <w:rFonts w:ascii="Calibri" w:hAnsi="Calibri" w:eastAsia="Calibri"/>
                <w:b w:val="0"/>
                <w:color w:val="000000"/>
                <w:sz w:val="20"/>
              </w:rPr>
              <w:t>Aceita</w:t>
            </w:r>
          </w:p>
        </w:tc>
      </w:tr>
      <w:tr>
        <w:tc>
          <w:tcPr>
            <w:tcW w:type="dxa" w:w="31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2F2F2"/>
          </w:tcPr>
          <w:p>
            <w:pPr>
              <w:spacing w:line="240" w:lineRule="auto" w:after="0"/>
              <w:ind w:firstLine="0"/>
            </w:pPr>
            <w:r>
              <w:rPr>
                <w:rFonts w:ascii="Calibri" w:hAnsi="Calibri" w:eastAsia="Calibri"/>
                <w:b w:val="0"/>
                <w:color w:val="000000"/>
                <w:sz w:val="20"/>
              </w:rPr>
              <w:t>0002</w:t>
            </w:r>
          </w:p>
        </w:tc>
        <w:tc>
          <w:tcPr>
            <w:tcW w:type="dxa" w:w="31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2F2F2"/>
          </w:tcPr>
          <w:p>
            <w:pPr>
              <w:spacing w:line="240" w:lineRule="auto" w:after="0"/>
              <w:ind w:firstLine="0"/>
            </w:pPr>
            <w:r>
              <w:rPr>
                <w:rFonts w:ascii="Calibri" w:hAnsi="Calibri" w:eastAsia="Calibri"/>
                <w:b w:val="0"/>
                <w:color w:val="000000"/>
                <w:sz w:val="20"/>
              </w:rPr>
              <w:t>Banco de dados: MongoDB</w:t>
            </w:r>
          </w:p>
        </w:tc>
        <w:tc>
          <w:tcPr>
            <w:tcW w:type="dxa" w:w="31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2F2F2"/>
          </w:tcPr>
          <w:p>
            <w:pPr>
              <w:spacing w:line="240" w:lineRule="auto" w:after="0"/>
              <w:ind w:firstLine="0"/>
            </w:pPr>
            <w:r>
              <w:rPr>
                <w:rFonts w:ascii="Calibri" w:hAnsi="Calibri" w:eastAsia="Calibri"/>
                <w:b w:val="0"/>
                <w:color w:val="000000"/>
                <w:sz w:val="20"/>
              </w:rPr>
              <w:t>Aceita</w:t>
            </w:r>
          </w:p>
        </w:tc>
      </w:tr>
      <w:tr>
        <w:tc>
          <w:tcPr>
            <w:tcW w:type="dxa" w:w="31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line="240" w:lineRule="auto" w:after="0"/>
              <w:ind w:firstLine="0"/>
            </w:pPr>
            <w:r>
              <w:rPr>
                <w:rFonts w:ascii="Calibri" w:hAnsi="Calibri" w:eastAsia="Calibri"/>
                <w:b w:val="0"/>
                <w:color w:val="000000"/>
                <w:sz w:val="20"/>
              </w:rPr>
              <w:t>0003</w:t>
            </w:r>
          </w:p>
        </w:tc>
        <w:tc>
          <w:tcPr>
            <w:tcW w:type="dxa" w:w="31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line="240" w:lineRule="auto" w:after="0"/>
              <w:ind w:firstLine="0"/>
            </w:pPr>
            <w:r>
              <w:rPr>
                <w:rFonts w:ascii="Calibri" w:hAnsi="Calibri" w:eastAsia="Calibri"/>
                <w:b w:val="0"/>
                <w:color w:val="000000"/>
                <w:sz w:val="20"/>
              </w:rPr>
              <w:t>Biblioteca de acesso IMAP: MailKit</w:t>
            </w:r>
          </w:p>
        </w:tc>
        <w:tc>
          <w:tcPr>
            <w:tcW w:type="dxa" w:w="31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line="240" w:lineRule="auto" w:after="0"/>
              <w:ind w:firstLine="0"/>
            </w:pPr>
            <w:r>
              <w:rPr>
                <w:rFonts w:ascii="Calibri" w:hAnsi="Calibri" w:eastAsia="Calibri"/>
                <w:b w:val="0"/>
                <w:color w:val="000000"/>
                <w:sz w:val="20"/>
              </w:rPr>
              <w:t>Aceita</w:t>
            </w:r>
          </w:p>
        </w:tc>
      </w:tr>
      <w:tr>
        <w:tc>
          <w:tcPr>
            <w:tcW w:type="dxa" w:w="31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2F2F2"/>
          </w:tcPr>
          <w:p>
            <w:pPr>
              <w:spacing w:line="240" w:lineRule="auto" w:after="0"/>
              <w:ind w:firstLine="0"/>
            </w:pPr>
            <w:r>
              <w:rPr>
                <w:rFonts w:ascii="Calibri" w:hAnsi="Calibri" w:eastAsia="Calibri"/>
                <w:b w:val="0"/>
                <w:color w:val="000000"/>
                <w:sz w:val="20"/>
              </w:rPr>
              <w:t>0004</w:t>
            </w:r>
          </w:p>
        </w:tc>
        <w:tc>
          <w:tcPr>
            <w:tcW w:type="dxa" w:w="31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2F2F2"/>
          </w:tcPr>
          <w:p>
            <w:pPr>
              <w:spacing w:line="240" w:lineRule="auto" w:after="0"/>
              <w:ind w:firstLine="0"/>
            </w:pPr>
            <w:r>
              <w:rPr>
                <w:rFonts w:ascii="Calibri" w:hAnsi="Calibri" w:eastAsia="Calibri"/>
                <w:b w:val="0"/>
                <w:color w:val="000000"/>
                <w:sz w:val="20"/>
              </w:rPr>
              <w:t>Autenticação: OAuth2 (Google/Microsoft)</w:t>
            </w:r>
          </w:p>
        </w:tc>
        <w:tc>
          <w:tcPr>
            <w:tcW w:type="dxa" w:w="31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2F2F2"/>
          </w:tcPr>
          <w:p>
            <w:pPr>
              <w:spacing w:line="240" w:lineRule="auto" w:after="0"/>
              <w:ind w:firstLine="0"/>
            </w:pPr>
            <w:r>
              <w:rPr>
                <w:rFonts w:ascii="Calibri" w:hAnsi="Calibri" w:eastAsia="Calibri"/>
                <w:b w:val="0"/>
                <w:color w:val="000000"/>
                <w:sz w:val="20"/>
              </w:rPr>
              <w:t>Aceita</w:t>
            </w:r>
          </w:p>
        </w:tc>
      </w:tr>
      <w:tr>
        <w:tc>
          <w:tcPr>
            <w:tcW w:type="dxa" w:w="31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line="240" w:lineRule="auto" w:after="0"/>
              <w:ind w:firstLine="0"/>
            </w:pPr>
            <w:r>
              <w:rPr>
                <w:rFonts w:ascii="Calibri" w:hAnsi="Calibri" w:eastAsia="Calibri"/>
                <w:b w:val="0"/>
                <w:color w:val="000000"/>
                <w:sz w:val="20"/>
              </w:rPr>
              <w:t>0005</w:t>
            </w:r>
          </w:p>
        </w:tc>
        <w:tc>
          <w:tcPr>
            <w:tcW w:type="dxa" w:w="31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line="240" w:lineRule="auto" w:after="0"/>
              <w:ind w:firstLine="0"/>
            </w:pPr>
            <w:r>
              <w:rPr>
                <w:rFonts w:ascii="Calibri" w:hAnsi="Calibri" w:eastAsia="Calibri"/>
                <w:b w:val="0"/>
                <w:color w:val="000000"/>
                <w:sz w:val="20"/>
              </w:rPr>
              <w:t>Arquitetura em camadas (Domain / Application / Infrastructure / Presentation)</w:t>
            </w:r>
          </w:p>
        </w:tc>
        <w:tc>
          <w:tcPr>
            <w:tcW w:type="dxa" w:w="31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line="240" w:lineRule="auto" w:after="0"/>
              <w:ind w:firstLine="0"/>
            </w:pPr>
            <w:r>
              <w:rPr>
                <w:rFonts w:ascii="Calibri" w:hAnsi="Calibri" w:eastAsia="Calibri"/>
                <w:b w:val="0"/>
                <w:color w:val="000000"/>
                <w:sz w:val="20"/>
              </w:rPr>
              <w:t>Aceita</w:t>
            </w:r>
          </w:p>
        </w:tc>
      </w:tr>
    </w:tbl>
    <w:p>
      <w:pPr>
        <w:spacing w:after="0" w:line="360" w:lineRule="auto"/>
        <w:ind w:firstLine="0"/>
      </w:pPr>
    </w:p>
    <w:p>
      <w:pPr>
        <w:pStyle w:val="Heading1"/>
        <w:spacing w:line="240" w:lineRule="auto"/>
        <w:ind w:firstLine="0"/>
        <w:pBdr>
          <w:bottom w:val="single" w:sz="8" w:space="5" w:color="1F7A6C"/>
        </w:pBdr>
      </w:pPr>
      <w:r>
        <w:rPr>
          <w:rFonts w:ascii="Calibri" w:hAnsi="Calibri" w:eastAsia="Calibri"/>
          <w:b/>
          <w:color w:val="1F7A6C"/>
          <w:sz w:val="28"/>
        </w:rPr>
        <w:t>ADR 0001 — Linguagem e plataforma: C# / .NET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4702"/>
        <w:gridCol w:w="4702"/>
      </w:tblGrid>
      <w:tr>
        <w:trPr>
          <w:tblHeader w:val="true"/>
          <w:tblHeader w:val="true"/>
        </w:trPr>
        <w:tc>
          <w:tcPr>
            <w:tcW w:type="dxa" w:w="4702"/>
            <w:shd w:fill="1F7A6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702"/>
            <w:shd w:fill="1F7A6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Registro</w:t>
            </w:r>
          </w:p>
        </w:tc>
      </w:tr>
      <w:tr>
        <w:tc>
          <w:tcPr>
            <w:tcW w:type="dxa" w:w="47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line="240" w:lineRule="auto" w:after="0"/>
              <w:ind w:firstLine="0"/>
            </w:pPr>
            <w:r>
              <w:rPr>
                <w:rFonts w:ascii="Calibri" w:hAnsi="Calibri" w:eastAsia="Calibri"/>
                <w:b w:val="0"/>
                <w:color w:val="000000"/>
                <w:sz w:val="20"/>
              </w:rPr>
              <w:t>Data</w:t>
            </w:r>
          </w:p>
        </w:tc>
        <w:tc>
          <w:tcPr>
            <w:tcW w:type="dxa" w:w="47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line="240" w:lineRule="auto" w:after="0"/>
              <w:ind w:firstLine="0"/>
            </w:pPr>
            <w:r>
              <w:rPr>
                <w:rFonts w:ascii="Calibri" w:hAnsi="Calibri" w:eastAsia="Calibri"/>
                <w:b w:val="0"/>
                <w:color w:val="000000"/>
                <w:sz w:val="20"/>
              </w:rPr>
              <w:t>25/09/2026</w:t>
            </w:r>
          </w:p>
        </w:tc>
      </w:tr>
      <w:tr>
        <w:tc>
          <w:tcPr>
            <w:tcW w:type="dxa" w:w="47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2F2F2"/>
          </w:tcPr>
          <w:p>
            <w:pPr>
              <w:spacing w:line="240" w:lineRule="auto" w:after="0"/>
              <w:ind w:firstLine="0"/>
            </w:pPr>
            <w:r>
              <w:rPr>
                <w:rFonts w:ascii="Calibri" w:hAnsi="Calibri" w:eastAsia="Calibri"/>
                <w:b w:val="0"/>
                <w:color w:val="000000"/>
                <w:sz w:val="20"/>
              </w:rPr>
              <w:t>Status</w:t>
            </w:r>
          </w:p>
        </w:tc>
        <w:tc>
          <w:tcPr>
            <w:tcW w:type="dxa" w:w="47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2F2F2"/>
          </w:tcPr>
          <w:p>
            <w:pPr>
              <w:spacing w:line="240" w:lineRule="auto" w:after="0"/>
              <w:ind w:firstLine="0"/>
            </w:pPr>
            <w:r>
              <w:rPr>
                <w:rFonts w:ascii="Calibri" w:hAnsi="Calibri" w:eastAsia="Calibri"/>
                <w:b w:val="0"/>
                <w:color w:val="000000"/>
                <w:sz w:val="20"/>
              </w:rPr>
              <w:t>Aceita</w:t>
            </w:r>
          </w:p>
        </w:tc>
      </w:tr>
      <w:tr>
        <w:tc>
          <w:tcPr>
            <w:tcW w:type="dxa" w:w="47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line="240" w:lineRule="auto" w:after="0"/>
              <w:ind w:firstLine="0"/>
            </w:pPr>
            <w:r>
              <w:rPr>
                <w:rFonts w:ascii="Calibri" w:hAnsi="Calibri" w:eastAsia="Calibri"/>
                <w:b w:val="0"/>
                <w:color w:val="000000"/>
                <w:sz w:val="20"/>
              </w:rPr>
              <w:t>Contexto</w:t>
            </w:r>
          </w:p>
        </w:tc>
        <w:tc>
          <w:tcPr>
            <w:tcW w:type="dxa" w:w="47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line="240" w:lineRule="auto" w:after="0"/>
              <w:ind w:firstLine="0"/>
            </w:pPr>
            <w:r>
              <w:rPr>
                <w:rFonts w:ascii="Calibri" w:hAnsi="Calibri" w:eastAsia="Calibri"/>
                <w:b w:val="0"/>
                <w:color w:val="000000"/>
                <w:sz w:val="20"/>
              </w:rPr>
              <w:t>É necessário escolher a linguagem/plataforma de implementação do aplicativo.</w:t>
            </w:r>
          </w:p>
        </w:tc>
      </w:tr>
      <w:tr>
        <w:tc>
          <w:tcPr>
            <w:tcW w:type="dxa" w:w="47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2F2F2"/>
          </w:tcPr>
          <w:p>
            <w:pPr>
              <w:spacing w:line="240" w:lineRule="auto" w:after="0"/>
              <w:ind w:firstLine="0"/>
            </w:pPr>
            <w:r>
              <w:rPr>
                <w:rFonts w:ascii="Calibri" w:hAnsi="Calibri" w:eastAsia="Calibri"/>
                <w:b w:val="0"/>
                <w:color w:val="000000"/>
                <w:sz w:val="20"/>
              </w:rPr>
              <w:t>Decisão</w:t>
            </w:r>
          </w:p>
        </w:tc>
        <w:tc>
          <w:tcPr>
            <w:tcW w:type="dxa" w:w="47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2F2F2"/>
          </w:tcPr>
          <w:p>
            <w:pPr>
              <w:spacing w:line="240" w:lineRule="auto" w:after="0"/>
              <w:ind w:firstLine="0"/>
            </w:pPr>
            <w:r>
              <w:rPr>
                <w:rFonts w:ascii="Calibri" w:hAnsi="Calibri" w:eastAsia="Calibri"/>
                <w:b w:val="0"/>
                <w:color w:val="000000"/>
                <w:sz w:val="20"/>
              </w:rPr>
              <w:t>C# sobre .NET.</w:t>
            </w:r>
          </w:p>
        </w:tc>
      </w:tr>
      <w:tr>
        <w:tc>
          <w:tcPr>
            <w:tcW w:type="dxa" w:w="47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line="240" w:lineRule="auto" w:after="0"/>
              <w:ind w:firstLine="0"/>
            </w:pPr>
            <w:r>
              <w:rPr>
                <w:rFonts w:ascii="Calibri" w:hAnsi="Calibri" w:eastAsia="Calibri"/>
                <w:b w:val="0"/>
                <w:color w:val="000000"/>
                <w:sz w:val="20"/>
              </w:rPr>
              <w:t>Justificativa</w:t>
            </w:r>
          </w:p>
        </w:tc>
        <w:tc>
          <w:tcPr>
            <w:tcW w:type="dxa" w:w="47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line="240" w:lineRule="auto" w:after="0"/>
              <w:ind w:firstLine="0"/>
            </w:pPr>
            <w:r>
              <w:rPr>
                <w:rFonts w:ascii="Calibri" w:hAnsi="Calibri" w:eastAsia="Calibri"/>
                <w:b w:val="0"/>
                <w:color w:val="000000"/>
                <w:sz w:val="20"/>
              </w:rPr>
              <w:t>A equipe esta mais familiar com C# e o ambiente .NET</w:t>
            </w:r>
          </w:p>
        </w:tc>
      </w:tr>
    </w:tbl>
    <w:p>
      <w:pPr>
        <w:spacing w:after="0" w:line="360" w:lineRule="auto"/>
        <w:ind w:firstLine="0"/>
      </w:pPr>
    </w:p>
    <w:p>
      <w:pPr>
        <w:pStyle w:val="Heading1"/>
        <w:spacing w:line="240" w:lineRule="auto"/>
        <w:ind w:firstLine="0"/>
        <w:pBdr>
          <w:bottom w:val="single" w:sz="8" w:space="5" w:color="1F7A6C"/>
        </w:pBdr>
      </w:pPr>
      <w:r>
        <w:rPr>
          <w:rFonts w:ascii="Calibri" w:hAnsi="Calibri" w:eastAsia="Calibri"/>
          <w:b/>
          <w:color w:val="1F7A6C"/>
          <w:sz w:val="28"/>
        </w:rPr>
        <w:t>ADR 0002 — Banco de dados: MongoDB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4702"/>
        <w:gridCol w:w="4702"/>
      </w:tblGrid>
      <w:tr>
        <w:trPr>
          <w:tblHeader w:val="true"/>
          <w:tblHeader w:val="true"/>
        </w:trPr>
        <w:tc>
          <w:tcPr>
            <w:tcW w:type="dxa" w:w="4702"/>
            <w:shd w:fill="1F7A6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702"/>
            <w:shd w:fill="1F7A6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Registro</w:t>
            </w:r>
          </w:p>
        </w:tc>
      </w:tr>
      <w:tr>
        <w:tc>
          <w:tcPr>
            <w:tcW w:type="dxa" w:w="47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line="240" w:lineRule="auto" w:after="0"/>
              <w:ind w:firstLine="0"/>
            </w:pPr>
            <w:r>
              <w:rPr>
                <w:rFonts w:ascii="Calibri" w:hAnsi="Calibri" w:eastAsia="Calibri"/>
                <w:b w:val="0"/>
                <w:color w:val="000000"/>
                <w:sz w:val="20"/>
              </w:rPr>
              <w:t>Data</w:t>
            </w:r>
          </w:p>
        </w:tc>
        <w:tc>
          <w:tcPr>
            <w:tcW w:type="dxa" w:w="47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line="240" w:lineRule="auto" w:after="0"/>
              <w:ind w:firstLine="0"/>
            </w:pPr>
            <w:r>
              <w:rPr>
                <w:rFonts w:ascii="Calibri" w:hAnsi="Calibri" w:eastAsia="Calibri"/>
                <w:b w:val="0"/>
                <w:color w:val="000000"/>
                <w:sz w:val="20"/>
              </w:rPr>
              <w:t>25/09/2026</w:t>
            </w:r>
          </w:p>
        </w:tc>
      </w:tr>
      <w:tr>
        <w:tc>
          <w:tcPr>
            <w:tcW w:type="dxa" w:w="47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2F2F2"/>
          </w:tcPr>
          <w:p>
            <w:pPr>
              <w:spacing w:line="240" w:lineRule="auto" w:after="0"/>
              <w:ind w:firstLine="0"/>
            </w:pPr>
            <w:r>
              <w:rPr>
                <w:rFonts w:ascii="Calibri" w:hAnsi="Calibri" w:eastAsia="Calibri"/>
                <w:b w:val="0"/>
                <w:color w:val="000000"/>
                <w:sz w:val="20"/>
              </w:rPr>
              <w:t>Status</w:t>
            </w:r>
          </w:p>
        </w:tc>
        <w:tc>
          <w:tcPr>
            <w:tcW w:type="dxa" w:w="47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2F2F2"/>
          </w:tcPr>
          <w:p>
            <w:pPr>
              <w:spacing w:line="240" w:lineRule="auto" w:after="0"/>
              <w:ind w:firstLine="0"/>
            </w:pPr>
            <w:r>
              <w:rPr>
                <w:rFonts w:ascii="Calibri" w:hAnsi="Calibri" w:eastAsia="Calibri"/>
                <w:b w:val="0"/>
                <w:color w:val="000000"/>
                <w:sz w:val="20"/>
              </w:rPr>
              <w:t>Aceita</w:t>
            </w:r>
          </w:p>
        </w:tc>
      </w:tr>
      <w:tr>
        <w:tc>
          <w:tcPr>
            <w:tcW w:type="dxa" w:w="47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line="240" w:lineRule="auto" w:after="0"/>
              <w:ind w:firstLine="0"/>
            </w:pPr>
            <w:r>
              <w:rPr>
                <w:rFonts w:ascii="Calibri" w:hAnsi="Calibri" w:eastAsia="Calibri"/>
                <w:b w:val="0"/>
                <w:color w:val="000000"/>
                <w:sz w:val="20"/>
              </w:rPr>
              <w:t>Contexto</w:t>
            </w:r>
          </w:p>
        </w:tc>
        <w:tc>
          <w:tcPr>
            <w:tcW w:type="dxa" w:w="47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line="240" w:lineRule="auto" w:after="0"/>
              <w:ind w:firstLine="0"/>
            </w:pPr>
            <w:r>
              <w:rPr>
                <w:rFonts w:ascii="Calibri" w:hAnsi="Calibri" w:eastAsia="Calibri"/>
                <w:b w:val="0"/>
                <w:color w:val="000000"/>
                <w:sz w:val="20"/>
              </w:rPr>
              <w:t>A base de templates de empresa e a lista de domínios de encurtamento precisam de um meio de armazenamento local (RNF-04).</w:t>
            </w:r>
          </w:p>
        </w:tc>
      </w:tr>
      <w:tr>
        <w:tc>
          <w:tcPr>
            <w:tcW w:type="dxa" w:w="47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2F2F2"/>
          </w:tcPr>
          <w:p>
            <w:pPr>
              <w:spacing w:line="240" w:lineRule="auto" w:after="0"/>
              <w:ind w:firstLine="0"/>
            </w:pPr>
            <w:r>
              <w:rPr>
                <w:rFonts w:ascii="Calibri" w:hAnsi="Calibri" w:eastAsia="Calibri"/>
                <w:b w:val="0"/>
                <w:color w:val="000000"/>
                <w:sz w:val="20"/>
              </w:rPr>
              <w:t>Decisão</w:t>
            </w:r>
          </w:p>
        </w:tc>
        <w:tc>
          <w:tcPr>
            <w:tcW w:type="dxa" w:w="47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2F2F2"/>
          </w:tcPr>
          <w:p>
            <w:pPr>
              <w:spacing w:line="240" w:lineRule="auto" w:after="0"/>
              <w:ind w:firstLine="0"/>
            </w:pPr>
            <w:r>
              <w:rPr>
                <w:rFonts w:ascii="Calibri" w:hAnsi="Calibri" w:eastAsia="Calibri"/>
                <w:b w:val="0"/>
                <w:color w:val="000000"/>
                <w:sz w:val="20"/>
              </w:rPr>
              <w:t>MongoDB, hospedado separadamente da aplicaçao principal, possuindo duas coleções principais (Templates de empresa; Domínios de encurtamento) e varios outros arquivos usando o Template de padrao de registro específico de empresas, onde cada documento registra uma certa empresa e seus domínios oficiais</w:t>
            </w:r>
          </w:p>
        </w:tc>
      </w:tr>
      <w:tr>
        <w:tc>
          <w:tcPr>
            <w:tcW w:type="dxa" w:w="47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line="240" w:lineRule="auto" w:after="0"/>
              <w:ind w:firstLine="0"/>
            </w:pPr>
            <w:r>
              <w:rPr>
                <w:rFonts w:ascii="Calibri" w:hAnsi="Calibri" w:eastAsia="Calibri"/>
                <w:b w:val="0"/>
                <w:color w:val="000000"/>
                <w:sz w:val="20"/>
              </w:rPr>
              <w:t>Justificativa</w:t>
            </w:r>
          </w:p>
        </w:tc>
        <w:tc>
          <w:tcPr>
            <w:tcW w:type="dxa" w:w="47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line="240" w:lineRule="auto" w:after="0"/>
              <w:ind w:firstLine="0"/>
            </w:pPr>
            <w:r>
              <w:rPr>
                <w:rFonts w:ascii="Calibri" w:hAnsi="Calibri" w:eastAsia="Calibri"/>
                <w:b w:val="0"/>
                <w:color w:val="000000"/>
                <w:sz w:val="20"/>
              </w:rPr>
              <w:t>O projeto usa dados nao estruturados e essa database em specifico a equipe possui boa familiaridade</w:t>
            </w:r>
          </w:p>
        </w:tc>
      </w:tr>
    </w:tbl>
    <w:p>
      <w:pPr>
        <w:spacing w:after="0" w:line="360" w:lineRule="auto"/>
        <w:ind w:firstLine="0"/>
      </w:pPr>
    </w:p>
    <w:p>
      <w:pPr>
        <w:pStyle w:val="Heading1"/>
        <w:spacing w:line="240" w:lineRule="auto"/>
        <w:ind w:firstLine="0"/>
        <w:pBdr>
          <w:bottom w:val="single" w:sz="8" w:space="5" w:color="1F7A6C"/>
        </w:pBdr>
      </w:pPr>
      <w:r>
        <w:rPr>
          <w:rFonts w:ascii="Calibri" w:hAnsi="Calibri" w:eastAsia="Calibri"/>
          <w:b/>
          <w:color w:val="1F7A6C"/>
          <w:sz w:val="28"/>
        </w:rPr>
        <w:t>ADR 0003 — Biblioteca de acesso IMAP: MailKit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4702"/>
        <w:gridCol w:w="4702"/>
      </w:tblGrid>
      <w:tr>
        <w:trPr>
          <w:tblHeader w:val="true"/>
          <w:tblHeader w:val="true"/>
        </w:trPr>
        <w:tc>
          <w:tcPr>
            <w:tcW w:type="dxa" w:w="4702"/>
            <w:shd w:fill="1F7A6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702"/>
            <w:shd w:fill="1F7A6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Registro</w:t>
            </w:r>
          </w:p>
        </w:tc>
      </w:tr>
      <w:tr>
        <w:tc>
          <w:tcPr>
            <w:tcW w:type="dxa" w:w="47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line="240" w:lineRule="auto" w:after="0"/>
              <w:ind w:firstLine="0"/>
            </w:pPr>
            <w:r>
              <w:rPr>
                <w:rFonts w:ascii="Calibri" w:hAnsi="Calibri" w:eastAsia="Calibri"/>
                <w:b w:val="0"/>
                <w:color w:val="000000"/>
                <w:sz w:val="20"/>
              </w:rPr>
              <w:t>Data</w:t>
            </w:r>
          </w:p>
        </w:tc>
        <w:tc>
          <w:tcPr>
            <w:tcW w:type="dxa" w:w="47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line="240" w:lineRule="auto" w:after="0"/>
              <w:ind w:firstLine="0"/>
            </w:pPr>
            <w:r>
              <w:rPr>
                <w:rFonts w:ascii="Calibri" w:hAnsi="Calibri" w:eastAsia="Calibri"/>
                <w:b w:val="0"/>
                <w:color w:val="000000"/>
                <w:sz w:val="20"/>
              </w:rPr>
              <w:t>25/09/2026</w:t>
            </w:r>
          </w:p>
        </w:tc>
      </w:tr>
      <w:tr>
        <w:tc>
          <w:tcPr>
            <w:tcW w:type="dxa" w:w="47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2F2F2"/>
          </w:tcPr>
          <w:p>
            <w:pPr>
              <w:spacing w:line="240" w:lineRule="auto" w:after="0"/>
              <w:ind w:firstLine="0"/>
            </w:pPr>
            <w:r>
              <w:rPr>
                <w:rFonts w:ascii="Calibri" w:hAnsi="Calibri" w:eastAsia="Calibri"/>
                <w:b w:val="0"/>
                <w:color w:val="000000"/>
                <w:sz w:val="20"/>
              </w:rPr>
              <w:t>Status</w:t>
            </w:r>
          </w:p>
        </w:tc>
        <w:tc>
          <w:tcPr>
            <w:tcW w:type="dxa" w:w="47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2F2F2"/>
          </w:tcPr>
          <w:p>
            <w:pPr>
              <w:spacing w:line="240" w:lineRule="auto" w:after="0"/>
              <w:ind w:firstLine="0"/>
            </w:pPr>
            <w:r>
              <w:rPr>
                <w:rFonts w:ascii="Calibri" w:hAnsi="Calibri" w:eastAsia="Calibri"/>
                <w:b w:val="0"/>
                <w:color w:val="000000"/>
                <w:sz w:val="20"/>
              </w:rPr>
              <w:t>Aceita</w:t>
            </w:r>
          </w:p>
        </w:tc>
      </w:tr>
      <w:tr>
        <w:tc>
          <w:tcPr>
            <w:tcW w:type="dxa" w:w="47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line="240" w:lineRule="auto" w:after="0"/>
              <w:ind w:firstLine="0"/>
            </w:pPr>
            <w:r>
              <w:rPr>
                <w:rFonts w:ascii="Calibri" w:hAnsi="Calibri" w:eastAsia="Calibri"/>
                <w:b w:val="0"/>
                <w:color w:val="000000"/>
                <w:sz w:val="20"/>
              </w:rPr>
              <w:t>Contexto</w:t>
            </w:r>
          </w:p>
        </w:tc>
        <w:tc>
          <w:tcPr>
            <w:tcW w:type="dxa" w:w="47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line="240" w:lineRule="auto" w:after="0"/>
              <w:ind w:firstLine="0"/>
            </w:pPr>
            <w:r>
              <w:rPr>
                <w:rFonts w:ascii="Calibri" w:hAnsi="Calibri" w:eastAsia="Calibri"/>
                <w:b w:val="0"/>
                <w:color w:val="000000"/>
                <w:sz w:val="20"/>
              </w:rPr>
              <w:t>É necessário monitorar a caixa de entrada via IMAP sobre SSL/TLS (RF-04).</w:t>
            </w:r>
          </w:p>
        </w:tc>
      </w:tr>
      <w:tr>
        <w:tc>
          <w:tcPr>
            <w:tcW w:type="dxa" w:w="47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2F2F2"/>
          </w:tcPr>
          <w:p>
            <w:pPr>
              <w:spacing w:line="240" w:lineRule="auto" w:after="0"/>
              <w:ind w:firstLine="0"/>
            </w:pPr>
            <w:r>
              <w:rPr>
                <w:rFonts w:ascii="Calibri" w:hAnsi="Calibri" w:eastAsia="Calibri"/>
                <w:b w:val="0"/>
                <w:color w:val="000000"/>
                <w:sz w:val="20"/>
              </w:rPr>
              <w:t>Decisão</w:t>
            </w:r>
          </w:p>
        </w:tc>
        <w:tc>
          <w:tcPr>
            <w:tcW w:type="dxa" w:w="47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2F2F2"/>
          </w:tcPr>
          <w:p>
            <w:pPr>
              <w:spacing w:line="240" w:lineRule="auto" w:after="0"/>
              <w:ind w:firstLine="0"/>
            </w:pPr>
            <w:r>
              <w:rPr>
                <w:rFonts w:ascii="Calibri" w:hAnsi="Calibri" w:eastAsia="Calibri"/>
                <w:b w:val="0"/>
                <w:color w:val="000000"/>
                <w:sz w:val="20"/>
              </w:rPr>
              <w:t>Biblioteca MailKit (C#).</w:t>
            </w:r>
          </w:p>
        </w:tc>
      </w:tr>
      <w:tr>
        <w:tc>
          <w:tcPr>
            <w:tcW w:type="dxa" w:w="47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line="240" w:lineRule="auto" w:after="0"/>
              <w:ind w:firstLine="0"/>
            </w:pPr>
            <w:r>
              <w:rPr>
                <w:rFonts w:ascii="Calibri" w:hAnsi="Calibri" w:eastAsia="Calibri"/>
                <w:b w:val="0"/>
                <w:color w:val="000000"/>
                <w:sz w:val="20"/>
              </w:rPr>
              <w:t>Justificativa</w:t>
            </w:r>
          </w:p>
        </w:tc>
        <w:tc>
          <w:tcPr>
            <w:tcW w:type="dxa" w:w="47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line="240" w:lineRule="auto" w:after="0"/>
              <w:ind w:firstLine="0"/>
            </w:pPr>
            <w:r>
              <w:rPr>
                <w:rFonts w:ascii="Calibri" w:hAnsi="Calibri" w:eastAsia="Calibri"/>
                <w:b w:val="0"/>
                <w:color w:val="000000"/>
                <w:sz w:val="20"/>
              </w:rPr>
              <w:t>Biblioteca padrão de mercado para IMAP em C#, dento do ambiente .NET, alem da equipe possuir alta familiaridade com a biblioteca em questao</w:t>
            </w:r>
          </w:p>
        </w:tc>
      </w:tr>
    </w:tbl>
    <w:p>
      <w:pPr>
        <w:spacing w:after="0" w:line="360" w:lineRule="auto"/>
        <w:ind w:firstLine="0"/>
      </w:pPr>
    </w:p>
    <w:p>
      <w:pPr>
        <w:pStyle w:val="Heading1"/>
        <w:spacing w:line="240" w:lineRule="auto"/>
        <w:ind w:firstLine="0"/>
        <w:pBdr>
          <w:bottom w:val="single" w:sz="8" w:space="5" w:color="1F7A6C"/>
        </w:pBdr>
      </w:pPr>
      <w:r>
        <w:rPr>
          <w:rFonts w:ascii="Calibri" w:hAnsi="Calibri" w:eastAsia="Calibri"/>
          <w:b/>
          <w:color w:val="1F7A6C"/>
          <w:sz w:val="28"/>
        </w:rPr>
        <w:t>ADR 0004 — Autenticação: OAuth2 (Google/Microsoft)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4702"/>
        <w:gridCol w:w="4702"/>
      </w:tblGrid>
      <w:tr>
        <w:trPr>
          <w:tblHeader w:val="true"/>
          <w:tblHeader w:val="true"/>
        </w:trPr>
        <w:tc>
          <w:tcPr>
            <w:tcW w:type="dxa" w:w="4702"/>
            <w:shd w:fill="1F7A6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702"/>
            <w:shd w:fill="1F7A6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Registro</w:t>
            </w:r>
          </w:p>
        </w:tc>
      </w:tr>
      <w:tr>
        <w:tc>
          <w:tcPr>
            <w:tcW w:type="dxa" w:w="47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line="240" w:lineRule="auto" w:after="0"/>
              <w:ind w:firstLine="0"/>
            </w:pPr>
            <w:r>
              <w:rPr>
                <w:rFonts w:ascii="Calibri" w:hAnsi="Calibri" w:eastAsia="Calibri"/>
                <w:b w:val="0"/>
                <w:color w:val="000000"/>
                <w:sz w:val="20"/>
              </w:rPr>
              <w:t>Data</w:t>
            </w:r>
          </w:p>
        </w:tc>
        <w:tc>
          <w:tcPr>
            <w:tcW w:type="dxa" w:w="47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line="240" w:lineRule="auto" w:after="0"/>
              <w:ind w:firstLine="0"/>
            </w:pPr>
            <w:r>
              <w:rPr>
                <w:rFonts w:ascii="Calibri" w:hAnsi="Calibri" w:eastAsia="Calibri"/>
                <w:b w:val="0"/>
                <w:color w:val="000000"/>
                <w:sz w:val="20"/>
              </w:rPr>
              <w:t>25/09/2026</w:t>
            </w:r>
          </w:p>
        </w:tc>
      </w:tr>
      <w:tr>
        <w:tc>
          <w:tcPr>
            <w:tcW w:type="dxa" w:w="47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2F2F2"/>
          </w:tcPr>
          <w:p>
            <w:pPr>
              <w:spacing w:line="240" w:lineRule="auto" w:after="0"/>
              <w:ind w:firstLine="0"/>
            </w:pPr>
            <w:r>
              <w:rPr>
                <w:rFonts w:ascii="Calibri" w:hAnsi="Calibri" w:eastAsia="Calibri"/>
                <w:b w:val="0"/>
                <w:color w:val="000000"/>
                <w:sz w:val="20"/>
              </w:rPr>
              <w:t>Status</w:t>
            </w:r>
          </w:p>
        </w:tc>
        <w:tc>
          <w:tcPr>
            <w:tcW w:type="dxa" w:w="47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2F2F2"/>
          </w:tcPr>
          <w:p>
            <w:pPr>
              <w:spacing w:line="240" w:lineRule="auto" w:after="0"/>
              <w:ind w:firstLine="0"/>
            </w:pPr>
            <w:r>
              <w:rPr>
                <w:rFonts w:ascii="Calibri" w:hAnsi="Calibri" w:eastAsia="Calibri"/>
                <w:b w:val="0"/>
                <w:color w:val="000000"/>
                <w:sz w:val="20"/>
              </w:rPr>
              <w:t>Aceita</w:t>
            </w:r>
          </w:p>
        </w:tc>
      </w:tr>
      <w:tr>
        <w:tc>
          <w:tcPr>
            <w:tcW w:type="dxa" w:w="47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line="240" w:lineRule="auto" w:after="0"/>
              <w:ind w:firstLine="0"/>
            </w:pPr>
            <w:r>
              <w:rPr>
                <w:rFonts w:ascii="Calibri" w:hAnsi="Calibri" w:eastAsia="Calibri"/>
                <w:b w:val="0"/>
                <w:color w:val="000000"/>
                <w:sz w:val="20"/>
              </w:rPr>
              <w:t>Contexto</w:t>
            </w:r>
          </w:p>
        </w:tc>
        <w:tc>
          <w:tcPr>
            <w:tcW w:type="dxa" w:w="47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line="240" w:lineRule="auto" w:after="0"/>
              <w:ind w:firstLine="0"/>
            </w:pPr>
            <w:r>
              <w:rPr>
                <w:rFonts w:ascii="Calibri" w:hAnsi="Calibri" w:eastAsia="Calibri"/>
                <w:b w:val="0"/>
                <w:color w:val="000000"/>
                <w:sz w:val="20"/>
              </w:rPr>
              <w:t>O acesso à caixa de entrada real do usuário precisa de autorização, sem armazenar senha (RNF-02).</w:t>
            </w:r>
          </w:p>
        </w:tc>
      </w:tr>
      <w:tr>
        <w:tc>
          <w:tcPr>
            <w:tcW w:type="dxa" w:w="47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2F2F2"/>
          </w:tcPr>
          <w:p>
            <w:pPr>
              <w:spacing w:line="240" w:lineRule="auto" w:after="0"/>
              <w:ind w:firstLine="0"/>
            </w:pPr>
            <w:r>
              <w:rPr>
                <w:rFonts w:ascii="Calibri" w:hAnsi="Calibri" w:eastAsia="Calibri"/>
                <w:b w:val="0"/>
                <w:color w:val="000000"/>
                <w:sz w:val="20"/>
              </w:rPr>
              <w:t>Decisão</w:t>
            </w:r>
          </w:p>
        </w:tc>
        <w:tc>
          <w:tcPr>
            <w:tcW w:type="dxa" w:w="47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2F2F2"/>
          </w:tcPr>
          <w:p>
            <w:pPr>
              <w:spacing w:line="240" w:lineRule="auto" w:after="0"/>
              <w:ind w:firstLine="0"/>
            </w:pPr>
            <w:r>
              <w:rPr>
                <w:rFonts w:ascii="Calibri" w:hAnsi="Calibri" w:eastAsia="Calibri"/>
                <w:b w:val="0"/>
                <w:color w:val="000000"/>
                <w:sz w:val="20"/>
              </w:rPr>
              <w:t>Fluxo OAuth2 padrão dos provedores (Google/Microsoft).</w:t>
            </w:r>
          </w:p>
        </w:tc>
      </w:tr>
      <w:tr>
        <w:tc>
          <w:tcPr>
            <w:tcW w:type="dxa" w:w="47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line="240" w:lineRule="auto" w:after="0"/>
              <w:ind w:firstLine="0"/>
            </w:pPr>
            <w:r>
              <w:rPr>
                <w:rFonts w:ascii="Calibri" w:hAnsi="Calibri" w:eastAsia="Calibri"/>
                <w:b w:val="0"/>
                <w:color w:val="000000"/>
                <w:sz w:val="20"/>
              </w:rPr>
              <w:t>Justificativa</w:t>
            </w:r>
          </w:p>
        </w:tc>
        <w:tc>
          <w:tcPr>
            <w:tcW w:type="dxa" w:w="47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line="240" w:lineRule="auto" w:after="0"/>
              <w:ind w:firstLine="0"/>
            </w:pPr>
            <w:r>
              <w:rPr>
                <w:rFonts w:ascii="Calibri" w:hAnsi="Calibri" w:eastAsia="Calibri"/>
                <w:b w:val="0"/>
                <w:color w:val="000000"/>
                <w:sz w:val="20"/>
              </w:rPr>
              <w:t>Exigência do próprio provedor para qualquer aplicação de terceiro acessar IMAP; não há alternativa dentro do escopo.</w:t>
            </w:r>
          </w:p>
        </w:tc>
      </w:tr>
    </w:tbl>
    <w:p>
      <w:pPr>
        <w:spacing w:after="0" w:line="360" w:lineRule="auto"/>
        <w:ind w:firstLine="0"/>
      </w:pPr>
    </w:p>
    <w:p>
      <w:pPr>
        <w:pStyle w:val="Heading1"/>
        <w:spacing w:line="240" w:lineRule="auto"/>
        <w:ind w:firstLine="0"/>
        <w:pBdr>
          <w:bottom w:val="single" w:sz="8" w:space="5" w:color="1F7A6C"/>
        </w:pBdr>
      </w:pPr>
      <w:r>
        <w:rPr>
          <w:rFonts w:ascii="Calibri" w:hAnsi="Calibri" w:eastAsia="Calibri"/>
          <w:b/>
          <w:color w:val="1F7A6C"/>
          <w:sz w:val="28"/>
        </w:rPr>
        <w:t>ADR 0005 — Arquitetura em camadas (Domain / Application / Infrastructure / Presentation)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4702"/>
        <w:gridCol w:w="4702"/>
      </w:tblGrid>
      <w:tr>
        <w:trPr>
          <w:tblHeader w:val="true"/>
          <w:tblHeader w:val="true"/>
        </w:trPr>
        <w:tc>
          <w:tcPr>
            <w:tcW w:type="dxa" w:w="4702"/>
            <w:shd w:fill="1F7A6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702"/>
            <w:shd w:fill="1F7A6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Registro</w:t>
            </w:r>
          </w:p>
        </w:tc>
      </w:tr>
      <w:tr>
        <w:tc>
          <w:tcPr>
            <w:tcW w:type="dxa" w:w="47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line="240" w:lineRule="auto" w:after="0"/>
              <w:ind w:firstLine="0"/>
            </w:pPr>
            <w:r>
              <w:rPr>
                <w:rFonts w:ascii="Calibri" w:hAnsi="Calibri" w:eastAsia="Calibri"/>
                <w:b w:val="0"/>
                <w:color w:val="000000"/>
                <w:sz w:val="20"/>
              </w:rPr>
              <w:t>Data</w:t>
            </w:r>
          </w:p>
        </w:tc>
        <w:tc>
          <w:tcPr>
            <w:tcW w:type="dxa" w:w="47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line="240" w:lineRule="auto" w:after="0"/>
              <w:ind w:firstLine="0"/>
            </w:pPr>
            <w:r>
              <w:rPr>
                <w:rFonts w:ascii="Calibri" w:hAnsi="Calibri" w:eastAsia="Calibri"/>
                <w:b w:val="0"/>
                <w:color w:val="000000"/>
                <w:sz w:val="20"/>
              </w:rPr>
              <w:t>25/09/2026</w:t>
            </w:r>
          </w:p>
        </w:tc>
      </w:tr>
      <w:tr>
        <w:tc>
          <w:tcPr>
            <w:tcW w:type="dxa" w:w="47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2F2F2"/>
          </w:tcPr>
          <w:p>
            <w:pPr>
              <w:spacing w:line="240" w:lineRule="auto" w:after="0"/>
              <w:ind w:firstLine="0"/>
            </w:pPr>
            <w:r>
              <w:rPr>
                <w:rFonts w:ascii="Calibri" w:hAnsi="Calibri" w:eastAsia="Calibri"/>
                <w:b w:val="0"/>
                <w:color w:val="000000"/>
                <w:sz w:val="20"/>
              </w:rPr>
              <w:t>Status</w:t>
            </w:r>
          </w:p>
        </w:tc>
        <w:tc>
          <w:tcPr>
            <w:tcW w:type="dxa" w:w="47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2F2F2"/>
          </w:tcPr>
          <w:p>
            <w:pPr>
              <w:spacing w:line="240" w:lineRule="auto" w:after="0"/>
              <w:ind w:firstLine="0"/>
            </w:pPr>
            <w:r>
              <w:rPr>
                <w:rFonts w:ascii="Calibri" w:hAnsi="Calibri" w:eastAsia="Calibri"/>
                <w:b w:val="0"/>
                <w:color w:val="000000"/>
                <w:sz w:val="20"/>
              </w:rPr>
              <w:t>Aceita</w:t>
            </w:r>
          </w:p>
        </w:tc>
      </w:tr>
      <w:tr>
        <w:tc>
          <w:tcPr>
            <w:tcW w:type="dxa" w:w="47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line="240" w:lineRule="auto" w:after="0"/>
              <w:ind w:firstLine="0"/>
            </w:pPr>
            <w:r>
              <w:rPr>
                <w:rFonts w:ascii="Calibri" w:hAnsi="Calibri" w:eastAsia="Calibri"/>
                <w:b w:val="0"/>
                <w:color w:val="000000"/>
                <w:sz w:val="20"/>
              </w:rPr>
              <w:t>Contexto</w:t>
            </w:r>
          </w:p>
        </w:tc>
        <w:tc>
          <w:tcPr>
            <w:tcW w:type="dxa" w:w="47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line="240" w:lineRule="auto" w:after="0"/>
              <w:ind w:firstLine="0"/>
            </w:pPr>
            <w:r>
              <w:rPr>
                <w:rFonts w:ascii="Calibri" w:hAnsi="Calibri" w:eastAsia="Calibri"/>
                <w:b w:val="0"/>
                <w:color w:val="000000"/>
                <w:sz w:val="20"/>
              </w:rPr>
              <w:t>O roteiro de execução (Etapa 15) e os critérios C10–C12 do AV1 exigem separação de camadas com as dependências apontando para o domínio.</w:t>
            </w:r>
          </w:p>
        </w:tc>
      </w:tr>
      <w:tr>
        <w:tc>
          <w:tcPr>
            <w:tcW w:type="dxa" w:w="47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2F2F2"/>
          </w:tcPr>
          <w:p>
            <w:pPr>
              <w:spacing w:line="240" w:lineRule="auto" w:after="0"/>
              <w:ind w:firstLine="0"/>
            </w:pPr>
            <w:r>
              <w:rPr>
                <w:rFonts w:ascii="Calibri" w:hAnsi="Calibri" w:eastAsia="Calibri"/>
                <w:b w:val="0"/>
                <w:color w:val="000000"/>
                <w:sz w:val="20"/>
              </w:rPr>
              <w:t>Decisão</w:t>
            </w:r>
          </w:p>
        </w:tc>
        <w:tc>
          <w:tcPr>
            <w:tcW w:type="dxa" w:w="47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2F2F2"/>
          </w:tcPr>
          <w:p>
            <w:pPr>
              <w:spacing w:line="240" w:lineRule="auto" w:after="0"/>
              <w:ind w:firstLine="0"/>
            </w:pPr>
            <w:r>
              <w:rPr>
                <w:rFonts w:ascii="Calibri" w:hAnsi="Calibri" w:eastAsia="Calibri"/>
                <w:b w:val="0"/>
                <w:color w:val="000000"/>
                <w:sz w:val="20"/>
              </w:rPr>
              <w:t>Quatro camadas — Domain (regras de negócio, sem infraestrutura), Application (casos de uso, orquestra domínio + repositórios), Infrastructure (implementações concretas: Mongo, MailKit, OAuth2), Presentation (bandeja do sistema, notificações nativas).</w:t>
            </w:r>
          </w:p>
        </w:tc>
      </w:tr>
      <w:tr>
        <w:tc>
          <w:tcPr>
            <w:tcW w:type="dxa" w:w="47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line="240" w:lineRule="auto" w:after="0"/>
              <w:ind w:firstLine="0"/>
            </w:pPr>
            <w:r>
              <w:rPr>
                <w:rFonts w:ascii="Calibri" w:hAnsi="Calibri" w:eastAsia="Calibri"/>
                <w:b w:val="0"/>
                <w:color w:val="000000"/>
                <w:sz w:val="20"/>
              </w:rPr>
              <w:t>Justificativa</w:t>
            </w:r>
          </w:p>
        </w:tc>
        <w:tc>
          <w:tcPr>
            <w:tcW w:type="dxa" w:w="47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line="240" w:lineRule="auto" w:after="0"/>
              <w:ind w:firstLine="0"/>
            </w:pPr>
            <w:r>
              <w:rPr>
                <w:rFonts w:ascii="Calibri" w:hAnsi="Calibri" w:eastAsia="Calibri"/>
                <w:b w:val="0"/>
                <w:color w:val="000000"/>
                <w:sz w:val="20"/>
              </w:rPr>
              <w:t>Exigência do roteiro e da avaliação. As interfaces de repositório ficam declaradas no Domain (inversão de dependência), implementadas no Infrastructure.</w:t>
            </w:r>
          </w:p>
        </w:tc>
      </w:tr>
    </w:tbl>
    <w:p>
      <w:pPr>
        <w:spacing w:after="0" w:line="360" w:lineRule="auto"/>
        <w:ind w:firstLine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701" w:right="1134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5F5F5F"/>
        <w:sz w:val="18"/>
      </w:rPr>
      <w:t xml:space="preserve">UNIASSELVI — Engenharia de Software | Página </w:t>
    </w:r>
    <w:r>
      <w:rPr>
        <w:rFonts w:ascii="Calibri" w:hAnsi="Calibri" w:eastAsia="Calibri"/>
        <w:b w:val="0"/>
        <w:color w:val="5F5F5F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1" w:color="BFBFBF"/>
      </w:pBdr>
    </w:pPr>
    <w:r>
      <w:rPr>
        <w:rFonts w:ascii="Calibri" w:hAnsi="Calibri" w:eastAsia="Calibri"/>
        <w:b w:val="0"/>
        <w:i/>
        <w:color w:val="5F5F5F"/>
        <w:sz w:val="18"/>
      </w:rPr>
      <w:t>Registro de Decisões Arquiteturais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0"/>
    </w:pPr>
    <w:rPr>
      <w:rFonts w:ascii="Calibri" w:hAnsi="Calibri" w:eastAsia="Calibr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 w:line="240" w:lineRule="auto"/>
      <w:ind w:firstLine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7A6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40" w:lineRule="auto"/>
      <w:ind w:firstLine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7A6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40" w:lineRule="auto"/>
      <w:ind w:firstLine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7A6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60" w:line="36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ódigo">
    <w:name w:val="Código"/>
    <w:pPr>
      <w:spacing w:line="240" w:lineRule="auto" w:before="80" w:after="80"/>
      <w:ind w:left="567" w:right="283"/>
    </w:pPr>
    <w:rPr>
      <w:rFonts w:ascii="Consolas" w:hAnsi="Consolas" w:eastAsia="Consolas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