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20"/>
        <w:jc w:val="center"/>
        <w:rPr>
          <w:rFonts w:ascii="Calibri" w:hAnsi="Calibri"/>
        </w:rPr>
      </w:pPr>
      <w:r>
        <w:rPr>
          <w:rFonts w:eastAsia="Calibri" w:cs="Calibri" w:ascii="Calibri" w:hAnsi="Calibri"/>
          <w:b/>
          <w:bCs/>
          <w:sz w:val="20"/>
          <w:szCs w:val="20"/>
        </w:rPr>
        <w:t>CENTRO UNIVERSITÁRIO LEONARDO DA VINCI — UNIASSELVI</w:t>
      </w:r>
    </w:p>
    <w:p>
      <w:pPr>
        <w:pStyle w:val="Normal"/>
        <w:spacing w:before="0" w:after="240"/>
        <w:jc w:val="center"/>
        <w:rPr>
          <w:rFonts w:ascii="Calibri" w:hAnsi="Calibri"/>
        </w:rPr>
      </w:pPr>
      <w:r>
        <w:rPr>
          <w:rFonts w:eastAsia="Calibri" w:cs="Calibri" w:ascii="Calibri" w:hAnsi="Calibri"/>
          <w:sz w:val="20"/>
          <w:szCs w:val="20"/>
        </w:rPr>
        <w:t>Engenharia de Software — 7º período</w:t>
      </w:r>
    </w:p>
    <w:p>
      <w:pPr>
        <w:pStyle w:val="Normal"/>
        <w:spacing w:before="0" w:after="60"/>
        <w:jc w:val="center"/>
        <w:rPr>
          <w:rFonts w:ascii="Calibri" w:hAnsi="Calibri"/>
        </w:rPr>
      </w:pPr>
      <w:r>
        <w:rPr>
          <w:rFonts w:eastAsia="Calibri" w:cs="Calibri" w:ascii="Calibri" w:hAnsi="Calibri"/>
          <w:b/>
          <w:bCs/>
          <w:color w:val="1F7A6C"/>
          <w:sz w:val="40"/>
          <w:szCs w:val="40"/>
        </w:rPr>
        <w:t>Documento de Requisitos</w:t>
      </w:r>
    </w:p>
    <w:p>
      <w:pPr>
        <w:pStyle w:val="Normal"/>
        <w:spacing w:before="0" w:after="300"/>
        <w:jc w:val="center"/>
        <w:rPr>
          <w:rFonts w:ascii="Calibri" w:hAnsi="Calibri"/>
        </w:rPr>
      </w:pPr>
      <w:r>
        <w:rPr>
          <w:rFonts w:eastAsia="Calibri" w:cs="Calibri" w:ascii="Calibri" w:hAnsi="Calibri"/>
          <w:sz w:val="26"/>
          <w:szCs w:val="26"/>
        </w:rPr>
        <w:t>Aplicativo de Detecção de Tentativas de Phishing por Correio Eletrônico</w:t>
      </w:r>
    </w:p>
    <w:p>
      <w:pPr>
        <w:pStyle w:val="Normal"/>
        <w:spacing w:before="0" w:after="40"/>
        <w:jc w:val="center"/>
        <w:rPr>
          <w:rFonts w:ascii="Calibri" w:hAnsi="Calibri"/>
        </w:rPr>
      </w:pPr>
      <w:r>
        <w:rPr>
          <w:rFonts w:eastAsia="Calibri" w:cs="Calibri" w:ascii="Calibri" w:hAnsi="Calibri"/>
          <w:i/>
          <w:iCs/>
          <w:sz w:val="20"/>
          <w:szCs w:val="20"/>
        </w:rPr>
        <w:t>Elaborado a partir da entrevista estruturada (Blocos A–H) e do Termo de Referência v1.0</w:t>
      </w:r>
    </w:p>
    <w:p>
      <w:pPr>
        <w:pStyle w:val="Normal"/>
        <w:spacing w:before="0" w:after="120"/>
        <w:jc w:val="center"/>
        <w:rPr>
          <w:rFonts w:ascii="Calibri" w:hAnsi="Calibri"/>
        </w:rPr>
      </w:pPr>
      <w:r>
        <w:rPr>
          <w:rFonts w:eastAsia="Calibri" w:cs="Calibri" w:ascii="Calibri" w:hAnsi="Calibri"/>
          <w:sz w:val="20"/>
          <w:szCs w:val="20"/>
        </w:rPr>
        <w:t>Equipe executora: Ethan Buttazzi — Projetista, Pesquisador e Implementador</w:t>
      </w:r>
    </w:p>
    <w:p>
      <w:pPr>
        <w:pStyle w:val="Normal"/>
        <w:spacing w:before="0" w:after="400"/>
        <w:jc w:val="center"/>
        <w:rPr>
          <w:rFonts w:ascii="Calibri" w:hAnsi="Calibri"/>
        </w:rPr>
      </w:pPr>
      <w:r>
        <w:rPr>
          <w:rFonts w:eastAsia="Calibri" w:cs="Calibri" w:ascii="Calibri" w:hAnsi="Calibri"/>
          <w:sz w:val="20"/>
          <w:szCs w:val="20"/>
        </w:rPr>
        <w:t>Orientador: Prof. Evaldo A. Oliveira</w:t>
      </w:r>
    </w:p>
    <w:p>
      <w:pPr>
        <w:pStyle w:val="Heading1"/>
        <w:pBdr>
          <w:bottom w:val="single" w:sz="6" w:space="4" w:color="1F7A6C"/>
        </w:pBdr>
        <w:spacing w:before="320" w:after="160"/>
        <w:rPr>
          <w:rFonts w:ascii="Calibri" w:hAnsi="Calibri"/>
        </w:rPr>
      </w:pPr>
      <w:r>
        <w:rPr>
          <w:rFonts w:eastAsia="Calibri" w:cs="Calibri" w:ascii="Calibri" w:hAnsi="Calibri"/>
          <w:b/>
          <w:bCs/>
          <w:color w:val="1F7A6C"/>
          <w:sz w:val="28"/>
          <w:szCs w:val="28"/>
        </w:rPr>
        <w:t>1. Identificação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2199"/>
        <w:gridCol w:w="6827"/>
      </w:tblGrid>
      <w:tr>
        <w:trPr>
          <w:tblHeader w:val="true"/>
          <w:cantSplit/>
        </w:trPr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7A6C" w:val="clear"/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7A6C" w:val="clear"/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Conteúdo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Documento</w:t>
            </w:r>
          </w:p>
        </w:tc>
        <w:tc>
          <w:tcPr>
            <w:tcW w:w="6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Documento de Requisitos v1.0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Projeto de origem</w:t>
            </w:r>
          </w:p>
        </w:tc>
        <w:tc>
          <w:tcPr>
            <w:tcW w:w="6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Termo de Referência — Aplicativo de Detecção de Tentativas de Phishing por Correio Eletrônico (v1.0)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Vínculo acadêmico</w:t>
            </w:r>
          </w:p>
        </w:tc>
        <w:tc>
          <w:tcPr>
            <w:tcW w:w="6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Trabalho de Conclusão de Curso — Engenharia de Software, 7º período — UNIASSELVI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Fonte das informações</w:t>
            </w:r>
          </w:p>
        </w:tc>
        <w:tc>
          <w:tcPr>
            <w:tcW w:w="6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Entrevista estruturada (Roteiro de Entrevista, Blocos A–H) conduzida com a equipe executora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Data de emissão</w:t>
            </w:r>
          </w:p>
        </w:tc>
        <w:tc>
          <w:tcPr>
            <w:tcW w:w="6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24/09/2026</w:t>
            </w:r>
          </w:p>
        </w:tc>
      </w:tr>
    </w:tbl>
    <w:p>
      <w:pPr>
        <w:pStyle w:val="Heading1"/>
        <w:pBdr>
          <w:bottom w:val="single" w:sz="6" w:space="4" w:color="1F7A6C"/>
        </w:pBdr>
        <w:spacing w:before="320" w:after="160"/>
        <w:rPr>
          <w:rFonts w:ascii="Calibri" w:hAnsi="Calibri"/>
        </w:rPr>
      </w:pPr>
      <w:r>
        <w:rPr>
          <w:rFonts w:eastAsia="Calibri" w:cs="Calibri" w:ascii="Calibri" w:hAnsi="Calibri"/>
          <w:b/>
          <w:bCs/>
          <w:color w:val="1F7A6C"/>
          <w:sz w:val="28"/>
          <w:szCs w:val="28"/>
        </w:rPr>
        <w:t>2. Objetivo</w:t>
      </w:r>
    </w:p>
    <w:p>
      <w:pPr>
        <w:pStyle w:val="Normal"/>
        <w:spacing w:before="0" w:after="120"/>
        <w:rPr>
          <w:rFonts w:ascii="Calibri" w:hAnsi="Calibri"/>
        </w:rPr>
      </w:pPr>
      <w:r>
        <w:rPr>
          <w:rFonts w:eastAsia="Calibri" w:cs="Calibri" w:ascii="Calibri" w:hAnsi="Calibri"/>
          <w:sz w:val="22"/>
          <w:szCs w:val="22"/>
        </w:rPr>
        <w:t>Prover evidência de viabilidade técnica para um serviço de proteção contra phishing por e-mail dirigido ao usuário individual (pessoa física e microempreendedor), e não ao ambiente corporativo — segmento no qual as soluções atualmente disponíveis no mercado se concentram, com custo e complexidade pouco adequados ao uso doméstico. A abordagem proposta identifica tentativas de phishing por meio de cross-referência entre o conteúdo das mensagens recebidas e uma base documental de templates de comunicação oficial fornecidos por diferentes empresas (padrões de domínio, formatação e canais oficiais).</w:t>
      </w:r>
    </w:p>
    <w:p>
      <w:pPr>
        <w:pStyle w:val="Heading1"/>
        <w:pBdr>
          <w:bottom w:val="single" w:sz="6" w:space="4" w:color="1F7A6C"/>
        </w:pBdr>
        <w:spacing w:before="320" w:after="160"/>
        <w:rPr>
          <w:rFonts w:ascii="Calibri" w:hAnsi="Calibri"/>
        </w:rPr>
      </w:pPr>
      <w:r>
        <w:rPr>
          <w:rFonts w:eastAsia="Calibri" w:cs="Calibri" w:ascii="Calibri" w:hAnsi="Calibri"/>
          <w:b/>
          <w:bCs/>
          <w:color w:val="1F7A6C"/>
          <w:sz w:val="28"/>
          <w:szCs w:val="28"/>
        </w:rPr>
        <w:t>3. Contexto (resumo)</w:t>
      </w:r>
    </w:p>
    <w:p>
      <w:pPr>
        <w:pStyle w:val="Normal"/>
        <w:spacing w:before="0" w:after="120"/>
        <w:rPr>
          <w:rFonts w:ascii="Calibri" w:hAnsi="Calibri"/>
        </w:rPr>
      </w:pPr>
      <w:r>
        <w:rPr>
          <w:rFonts w:eastAsia="Calibri" w:cs="Calibri" w:ascii="Calibri" w:hAnsi="Calibri"/>
          <w:sz w:val="22"/>
          <w:szCs w:val="22"/>
        </w:rPr>
        <w:t>Hoje, fora o filtro de spam padrão de qualquer provedor de e-mail, toda mensagem que chega à caixa principal é validada manualmente pelo próprio usuário, com base exclusivamente em seu conhecimento e experiência pessoal. O resultado dessa validação varia fortemente com a aptidão técnica do usuário, e uma única falha de julgamento pode ter consequências severas — comprometimento de conta, roubo de dados, propagação de malware ou perda financeira —, agravadas pela sofisticação crescente dos ataques (engenharia social apoiada em IA generativa e deepfakes de voz). O maior custo percebido do processo atual é o tempo gasto pelo próprio usuário verificando manualmente cada mensagem, especialmente relevante para freelancers e microempreendedores cuja comunicação com clientes depende do e-mail.</w:t>
      </w:r>
    </w:p>
    <w:p>
      <w:pPr>
        <w:pStyle w:val="Normal"/>
        <w:spacing w:before="0" w:after="120"/>
        <w:rPr>
          <w:rFonts w:ascii="Calibri" w:hAnsi="Calibri"/>
        </w:rPr>
      </w:pPr>
      <w:r>
        <w:rPr>
          <w:rFonts w:eastAsia="Calibri" w:cs="Calibri" w:ascii="Calibri" w:hAnsi="Calibri"/>
          <w:i/>
          <w:iCs/>
          <w:sz w:val="20"/>
          <w:szCs w:val="20"/>
        </w:rPr>
        <w:t>Dimensão do problema (fonte: Termo de Referência, seção 2): a Kaspersky registrou aproximadamente 553 milhões de tentativas de phishing no Brasil entre julho/2024 e julho/2025; pesquisa citada pelo Banco Central aponta que 10% dos entrevistados declararam já ter sido vítimas de golpes eletrônicos. Como referência complementar e apenas analógica — não é uma métrica de usuário doméstico —, o relatório KnowBe4 2024 Phishing by Industry Benchmarking (54 milhões de simulações, 11,9 milhões de indivíduos) constatou que, sem treinamento de conscientização em segurança, 34,3% dos usuários corporativos clicariam em links maliciosos ou atenderiam a solicitações fraudulentas.</w:t>
      </w:r>
    </w:p>
    <w:p>
      <w:pPr>
        <w:pStyle w:val="Heading1"/>
        <w:pBdr>
          <w:bottom w:val="single" w:sz="6" w:space="4" w:color="1F7A6C"/>
        </w:pBdr>
        <w:spacing w:before="320" w:after="160"/>
        <w:rPr>
          <w:rFonts w:ascii="Calibri" w:hAnsi="Calibri"/>
        </w:rPr>
      </w:pPr>
      <w:r>
        <w:rPr>
          <w:rFonts w:eastAsia="Calibri" w:cs="Calibri" w:ascii="Calibri" w:hAnsi="Calibri"/>
          <w:b/>
          <w:bCs/>
          <w:color w:val="1F7A6C"/>
          <w:sz w:val="28"/>
          <w:szCs w:val="28"/>
        </w:rPr>
        <w:t>4. Escopo</w:t>
      </w:r>
    </w:p>
    <w:p>
      <w:pPr>
        <w:pStyle w:val="Heading2"/>
        <w:spacing w:before="220" w:after="100"/>
        <w:rPr>
          <w:rFonts w:ascii="Calibri" w:hAnsi="Calibri"/>
        </w:rPr>
      </w:pPr>
      <w:r>
        <w:rPr>
          <w:rFonts w:eastAsia="Calibri" w:cs="Calibri" w:ascii="Calibri" w:hAnsi="Calibri"/>
          <w:b/>
          <w:bCs/>
          <w:color w:val="222222"/>
          <w:sz w:val="24"/>
          <w:szCs w:val="24"/>
        </w:rPr>
        <w:t>4.1 Escopo incluído (núcleo funcional da PoC)</w:t>
      </w:r>
    </w:p>
    <w:p>
      <w:pPr>
        <w:pStyle w:val="ListParagraph"/>
        <w:numPr>
          <w:ilvl w:val="0"/>
          <w:numId w:val="3"/>
        </w:numPr>
        <w:spacing w:before="0" w:after="80"/>
        <w:rPr>
          <w:rFonts w:ascii="Calibri" w:hAnsi="Calibri"/>
        </w:rPr>
      </w:pPr>
      <w:r>
        <w:rPr>
          <w:rFonts w:eastAsia="Calibri" w:cs="Calibri" w:ascii="Calibri" w:hAnsi="Calibri"/>
          <w:sz w:val="22"/>
          <w:szCs w:val="22"/>
        </w:rPr>
        <w:t>O sistema opera continuamente em segundo plano (background service / ícone na bandeja do sistema).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Calibri" w:hAnsi="Calibri"/>
        </w:rPr>
      </w:pPr>
      <w:r>
        <w:rPr>
          <w:rFonts w:eastAsia="Calibri" w:cs="Calibri" w:ascii="Calibri" w:hAnsi="Calibri"/>
          <w:sz w:val="22"/>
          <w:szCs w:val="22"/>
        </w:rPr>
        <w:t>O sistema intercepta, em nível de protocolo (IMAP sobre SSL/TLS, porta 993, via biblioteca MailKit em C#), as mensagens recebidas na caixa de entrada principal do usuário.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Calibri" w:hAnsi="Calibri"/>
        </w:rPr>
      </w:pPr>
      <w:r>
        <w:rPr>
          <w:rFonts w:eastAsia="Calibri" w:cs="Calibri" w:ascii="Calibri" w:hAnsi="Calibri"/>
          <w:sz w:val="22"/>
          <w:szCs w:val="22"/>
        </w:rPr>
        <w:t>O sistema filtra e seleciona apenas mensagens que contenham ao menos um hyperlink incorporado.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Calibri" w:hAnsi="Calibri"/>
        </w:rPr>
      </w:pPr>
      <w:r>
        <w:rPr>
          <w:rFonts w:eastAsia="Calibri" w:cs="Calibri" w:ascii="Calibri" w:hAnsi="Calibri"/>
          <w:sz w:val="22"/>
          <w:szCs w:val="22"/>
        </w:rPr>
        <w:t>O sistema valida cada hyperlink encontrado, verificando: (a) se a URL de destino não pertence a um serviço de encurtamento de links conhecido; e (b) se o domínio de destino corresponde a um domínio oficial registrado na base de templates da empresa aparentemente remetente.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Calibri" w:hAnsi="Calibri"/>
        </w:rPr>
      </w:pPr>
      <w:r>
        <w:rPr>
          <w:rFonts w:eastAsia="Calibri" w:cs="Calibri" w:ascii="Calibri" w:hAnsi="Calibri"/>
          <w:sz w:val="22"/>
          <w:szCs w:val="22"/>
        </w:rPr>
        <w:t>Mensagens em que a validação falhar são marcadas como suspeitas e sinalizadas ao usuário.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Calibri" w:hAnsi="Calibri"/>
        </w:rPr>
      </w:pPr>
      <w:r>
        <w:rPr>
          <w:rFonts w:eastAsia="Calibri" w:cs="Calibri" w:ascii="Calibri" w:hAnsi="Calibri"/>
          <w:sz w:val="22"/>
          <w:szCs w:val="22"/>
        </w:rPr>
        <w:t>Para cada mensagem suspeita, o sistema gera um relatório detalhando as inconsistências encontradas.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Calibri" w:hAnsi="Calibri"/>
        </w:rPr>
      </w:pPr>
      <w:r>
        <w:rPr>
          <w:rFonts w:eastAsia="Calibri" w:cs="Calibri" w:ascii="Calibri" w:hAnsi="Calibri"/>
          <w:sz w:val="22"/>
          <w:szCs w:val="22"/>
        </w:rPr>
        <w:t>Nesta PoC, a base de templates é hospedada localmente (localhost) — sem servidor externo dedicado (TR, seção 3.3).</w:t>
      </w:r>
    </w:p>
    <w:p>
      <w:pPr>
        <w:pStyle w:val="Heading2"/>
        <w:spacing w:before="220" w:after="100"/>
        <w:rPr>
          <w:rFonts w:ascii="Calibri" w:hAnsi="Calibri"/>
        </w:rPr>
      </w:pPr>
      <w:r>
        <w:rPr>
          <w:rFonts w:eastAsia="Calibri" w:cs="Calibri" w:ascii="Calibri" w:hAnsi="Calibri"/>
          <w:b/>
          <w:bCs/>
          <w:color w:val="222222"/>
          <w:sz w:val="24"/>
          <w:szCs w:val="24"/>
        </w:rPr>
        <w:t>4.2 Escopo excluído (conforme Termo de Referência, seção 3.3)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Calibri" w:hAnsi="Calibri"/>
        </w:rPr>
      </w:pPr>
      <w:r>
        <w:rPr>
          <w:rFonts w:eastAsia="Calibri" w:cs="Calibri" w:ascii="Calibri" w:hAnsi="Calibri"/>
          <w:sz w:val="22"/>
          <w:szCs w:val="22"/>
        </w:rPr>
        <w:t>Interface gráfica elaborada — interação limitada a notificações nativas do sistema operacional e à bandeja do sistema.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Calibri" w:hAnsi="Calibri"/>
        </w:rPr>
      </w:pPr>
      <w:r>
        <w:rPr>
          <w:rFonts w:eastAsia="Calibri" w:cs="Calibri" w:ascii="Calibri" w:hAnsi="Calibri"/>
          <w:sz w:val="22"/>
          <w:szCs w:val="22"/>
        </w:rPr>
        <w:t>Servidor externo dedicado além do necessário para hospedar a base de templates.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Calibri" w:hAnsi="Calibri"/>
        </w:rPr>
      </w:pPr>
      <w:r>
        <w:rPr>
          <w:rFonts w:eastAsia="Calibri" w:cs="Calibri" w:ascii="Calibri" w:hAnsi="Calibri"/>
          <w:sz w:val="22"/>
          <w:szCs w:val="22"/>
        </w:rPr>
        <w:t>Cooperação formal/parceria com provedores de e-mail — o acesso à caixa do usuário ocorre via OAuth2 e IMAP público, mecanismo padrão de qualquer aplicação de terceiros, sem envolver parceria com Google/Microsoft.</w:t>
      </w:r>
    </w:p>
    <w:p>
      <w:pPr>
        <w:pStyle w:val="Heading2"/>
        <w:spacing w:before="220" w:after="100"/>
        <w:rPr>
          <w:rFonts w:ascii="Calibri" w:hAnsi="Calibri"/>
        </w:rPr>
      </w:pPr>
      <w:r>
        <w:rPr>
          <w:rFonts w:eastAsia="Calibri" w:cs="Calibri" w:ascii="Calibri" w:hAnsi="Calibri"/>
          <w:b/>
          <w:bCs/>
          <w:color w:val="222222"/>
          <w:sz w:val="24"/>
          <w:szCs w:val="24"/>
        </w:rPr>
        <w:t>4.3 Visão de produto ideal (fora do escopo atual da PoC)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Calibri" w:hAnsi="Calibri"/>
        </w:rPr>
      </w:pPr>
      <w:r>
        <w:rPr>
          <w:rFonts w:eastAsia="Calibri" w:cs="Calibri" w:ascii="Calibri" w:hAnsi="Calibri"/>
          <w:sz w:val="22"/>
          <w:szCs w:val="22"/>
        </w:rPr>
        <w:t>Sinalização visual das mensagens suspeitas diretamente na caixa de entrada (ex.: marcador semitransparente vermelho) e destaque, dentro da própria mensagem aberta, do trecho exato que gerou a suspeita.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Calibri" w:hAnsi="Calibri"/>
        </w:rPr>
      </w:pPr>
      <w:r>
        <w:rPr>
          <w:rFonts w:eastAsia="Calibri" w:cs="Calibri" w:ascii="Calibri" w:hAnsi="Calibri"/>
          <w:sz w:val="22"/>
          <w:szCs w:val="22"/>
        </w:rPr>
        <w:t>Base de templates hospedada externamente e atualizável centralmente, sem exigir alteração do binário instalado no cliente.</w:t>
      </w:r>
    </w:p>
    <w:p>
      <w:pPr>
        <w:pStyle w:val="Normal"/>
        <w:spacing w:before="0" w:after="120"/>
        <w:rPr>
          <w:rFonts w:ascii="Calibri" w:hAnsi="Calibri"/>
        </w:rPr>
      </w:pPr>
      <w:r>
        <w:rPr>
          <w:rFonts w:eastAsia="Calibri" w:cs="Calibri" w:ascii="Calibri" w:hAnsi="Calibri"/>
          <w:i/>
          <w:iCs/>
          <w:sz w:val="20"/>
          <w:szCs w:val="20"/>
        </w:rPr>
        <w:t>Ambos os itens são direção futura de produto; não fazem parte dos critérios de aceitação da entrega atual — o primeiro por depender de interface elaborada, o segundo por depender de servidor externo dedicado, ambos explicitamente fora do escopo do TR (seção 3.3).</w:t>
      </w:r>
    </w:p>
    <w:p>
      <w:pPr>
        <w:pStyle w:val="Heading1"/>
        <w:pBdr>
          <w:bottom w:val="single" w:sz="6" w:space="4" w:color="1F7A6C"/>
        </w:pBdr>
        <w:spacing w:before="320" w:after="160"/>
        <w:rPr>
          <w:rFonts w:ascii="Calibri" w:hAnsi="Calibri"/>
        </w:rPr>
      </w:pPr>
      <w:r>
        <w:rPr>
          <w:rFonts w:eastAsia="Calibri" w:cs="Calibri" w:ascii="Calibri" w:hAnsi="Calibri"/>
          <w:b/>
          <w:bCs/>
          <w:color w:val="1F7A6C"/>
          <w:sz w:val="28"/>
          <w:szCs w:val="28"/>
        </w:rPr>
        <w:t>5. Requisitos Funcionais (RF)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700"/>
        <w:gridCol w:w="5626"/>
        <w:gridCol w:w="2700"/>
      </w:tblGrid>
      <w:tr>
        <w:trPr>
          <w:tblHeader w:val="true"/>
          <w:cantSplit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7A6C" w:val="clear"/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7A6C" w:val="clear"/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7A6C" w:val="clear"/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Critério de aceitação (TR)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RF-01</w:t>
            </w:r>
          </w:p>
        </w:tc>
        <w:tc>
          <w:tcPr>
            <w:tcW w:w="5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O sistema deve operar continuamente em segundo plano, sem exigir interação contínua do usuário.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—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RF-02</w:t>
            </w:r>
          </w:p>
        </w:tc>
        <w:tc>
          <w:tcPr>
            <w:tcW w:w="5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O sistema deve autenticar-se à conta de e-mail do usuário por meio de fluxo OAuth2 (Google/Microsoft), sem coletar ou armazenar a senha da conta.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—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RF-03</w:t>
            </w:r>
          </w:p>
        </w:tc>
        <w:tc>
          <w:tcPr>
            <w:tcW w:w="5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O sistema não deve realizar nenhuma análise de mensagens enquanto não houver uma autorização OAuth2 válida configurada.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CA-06 (adaptado — ver seção 9)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RF-04</w:t>
            </w:r>
          </w:p>
        </w:tc>
        <w:tc>
          <w:tcPr>
            <w:tcW w:w="5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O sistema deve monitorar, via protocolo IMAP com SSL/TLS (porta 993) usando MailKit, as mensagens recebidas na caixa de entrada principal.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—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RF-05</w:t>
            </w:r>
          </w:p>
        </w:tc>
        <w:tc>
          <w:tcPr>
            <w:tcW w:w="5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O sistema deve identificar, entre as mensagens recebidas, as que contêm ao menos um hyperlink incorporado.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CA-01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RF-06</w:t>
            </w:r>
          </w:p>
        </w:tc>
        <w:tc>
          <w:tcPr>
            <w:tcW w:w="5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O sistema deve ignorar (não analisar) mensagens que não contenham hyperlink.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CA-05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RF-07</w:t>
            </w:r>
          </w:p>
        </w:tc>
        <w:tc>
          <w:tcPr>
            <w:tcW w:w="5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 xml:space="preserve">Para cada hyperlink das mensagens selecionadas, o sistema deve validar: (a) se a URL de destino não pertence a um serviço de encurtamento de links conhecido; (b) se o domínio de destino corresponde a um domínio oficial registrado na base de templates da empresa identificada (RF-11); (c) se o domínio do endereço de correio eletrônico do remetente também corresponde a um domínio oficial do mesmo template. 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—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RF-08</w:t>
            </w:r>
          </w:p>
        </w:tc>
        <w:tc>
          <w:tcPr>
            <w:tcW w:w="5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O sistema deve marcar (flag) como suspeita toda mensagem em que a validação de RF-07 falhar.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CA-02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RF-09</w:t>
            </w:r>
          </w:p>
        </w:tc>
        <w:tc>
          <w:tcPr>
            <w:tcW w:w="5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O sistema deve sinalizar ao usuário a existência de mensagem(ns) suspeita(s) (ex.: notificação nativa do sistema operacional).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CA-03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RF-10</w:t>
            </w:r>
          </w:p>
        </w:tc>
        <w:tc>
          <w:tcPr>
            <w:tcW w:w="5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O sistema deve gerar, para cada mensagem suspeita, um relatório detalhando os elementos/inconsistências identificados.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CA-04</w:t>
            </w:r>
          </w:p>
        </w:tc>
      </w:tr>
      <w:tr>
        <w:trPr>
          <w:cantSplit/>
        </w:trPr>
        <w:tc>
          <w:tcPr>
            <w:tcW w:w="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RF-11 </w:t>
            </w:r>
          </w:p>
        </w:tc>
        <w:tc>
          <w:tcPr>
            <w:tcW w:w="56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O sistema deve identificar, a partir do conteúdo da mensagem, a empresa aparentemente representada, consultando o Registro de Empresas, antes de aplicar as validações de RF-07. </w:t>
            </w:r>
          </w:p>
        </w:tc>
        <w:tc>
          <w:tcPr>
            <w:tcW w:w="2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</w:tbl>
    <w:p>
      <w:pPr>
        <w:pStyle w:val="Heading1"/>
        <w:pBdr>
          <w:bottom w:val="single" w:sz="6" w:space="4" w:color="1F7A6C"/>
        </w:pBdr>
        <w:spacing w:before="320" w:after="160"/>
        <w:rPr>
          <w:rFonts w:ascii="Calibri" w:hAnsi="Calibri"/>
        </w:rPr>
      </w:pPr>
      <w:r>
        <w:rPr>
          <w:rFonts w:eastAsia="Calibri" w:cs="Calibri" w:ascii="Calibri" w:hAnsi="Calibri"/>
          <w:b/>
          <w:bCs/>
          <w:color w:val="1F7A6C"/>
          <w:sz w:val="28"/>
          <w:szCs w:val="28"/>
        </w:rPr>
        <w:t>6. Requisitos Não Funcionais (RNF)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700"/>
        <w:gridCol w:w="1599"/>
        <w:gridCol w:w="4626"/>
        <w:gridCol w:w="2101"/>
      </w:tblGrid>
      <w:tr>
        <w:trPr>
          <w:tblHeader w:val="true"/>
          <w:cantSplit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7A6C" w:val="clear"/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7A6C" w:val="clear"/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Categoria</w:t>
            </w:r>
          </w:p>
        </w:tc>
        <w:tc>
          <w:tcPr>
            <w:tcW w:w="4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7A6C" w:val="clear"/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2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7A6C" w:val="clear"/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Critério de aceitação (TR)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RNF-01</w:t>
            </w:r>
          </w:p>
        </w:tc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Desempenho</w:t>
            </w:r>
          </w:p>
        </w:tc>
        <w:tc>
          <w:tcPr>
            <w:tcW w:w="4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O sistema deve concluir a análise de uma mensagem recebida em até 10 segundos após seu recebimento.</w:t>
            </w:r>
          </w:p>
        </w:tc>
        <w:tc>
          <w:tcPr>
            <w:tcW w:w="2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CA-07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RNF-02</w:t>
            </w:r>
          </w:p>
        </w:tc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Segurança</w:t>
            </w:r>
          </w:p>
        </w:tc>
        <w:tc>
          <w:tcPr>
            <w:tcW w:w="4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O sistema não deve armazenar nem solicitar a senha da conta de e-mail do usuário; toda autenticação ocorre via OAuth2.</w:t>
            </w:r>
          </w:p>
        </w:tc>
        <w:tc>
          <w:tcPr>
            <w:tcW w:w="2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—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RNF-03</w:t>
            </w:r>
          </w:p>
        </w:tc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Segurança</w:t>
            </w:r>
          </w:p>
        </w:tc>
        <w:tc>
          <w:tcPr>
            <w:tcW w:w="4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Todo processamento de análise e cross-referência ocorre localmente no dispositivo do usuário (client-side); nenhum conteúdo de e-mail é transmitido a servidores externos.</w:t>
            </w:r>
          </w:p>
        </w:tc>
        <w:tc>
          <w:tcPr>
            <w:tcW w:w="2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—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RNF-04</w:t>
            </w:r>
          </w:p>
        </w:tc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Infraestrutura</w:t>
            </w:r>
          </w:p>
        </w:tc>
        <w:tc>
          <w:tcPr>
            <w:tcW w:w="4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Nesta PoC, a base de templates deve ser hospedada localmente (localhost), sem depender de servidor externo dedicado, em conformidade com a restrição orçamentária do TR (seção 6.1).</w:t>
            </w:r>
          </w:p>
        </w:tc>
        <w:tc>
          <w:tcPr>
            <w:tcW w:w="2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Seção 3.3/6.1 do TR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RNF-05</w:t>
            </w:r>
          </w:p>
        </w:tc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Portabilidade</w:t>
            </w:r>
          </w:p>
        </w:tc>
        <w:tc>
          <w:tcPr>
            <w:tcW w:w="4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O sistema deve funcionar de forma agnóstica ao provedor de e-mail, desde que este suporte IMAP com SSL/TLS (porta 993) e OAuth2 (ex.: Gmail, Microsoft 365/Outlook).</w:t>
            </w:r>
          </w:p>
        </w:tc>
        <w:tc>
          <w:tcPr>
            <w:tcW w:w="2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—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RNF-06</w:t>
            </w:r>
          </w:p>
        </w:tc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Instalabilidade</w:t>
            </w:r>
          </w:p>
        </w:tc>
        <w:tc>
          <w:tcPr>
            <w:tcW w:w="4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O sistema deve poder ser instalado por um usuário sem participação no desenvolvimento, seguindo exclusivamente o manual de instalação e uso.</w:t>
            </w:r>
          </w:p>
        </w:tc>
        <w:tc>
          <w:tcPr>
            <w:tcW w:w="2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CA-08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RNF-07</w:t>
            </w:r>
          </w:p>
        </w:tc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Usabilidade</w:t>
            </w:r>
          </w:p>
        </w:tc>
        <w:tc>
          <w:tcPr>
            <w:tcW w:w="4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A interação com o usuário deve se limitar a notificações nativas do sistema operacional e a um ícone na bandeja do sistema, sem interface gráfica elaborada.</w:t>
            </w:r>
          </w:p>
        </w:tc>
        <w:tc>
          <w:tcPr>
            <w:tcW w:w="2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—</w:t>
            </w:r>
          </w:p>
        </w:tc>
      </w:tr>
    </w:tbl>
    <w:p>
      <w:pPr>
        <w:pStyle w:val="Heading1"/>
        <w:pBdr>
          <w:bottom w:val="single" w:sz="6" w:space="4" w:color="1F7A6C"/>
        </w:pBdr>
        <w:spacing w:before="320" w:after="160"/>
        <w:rPr>
          <w:rFonts w:ascii="Calibri" w:hAnsi="Calibri"/>
        </w:rPr>
      </w:pPr>
      <w:r>
        <w:rPr>
          <w:rFonts w:eastAsia="Calibri" w:cs="Calibri" w:ascii="Calibri" w:hAnsi="Calibri"/>
          <w:b/>
          <w:bCs/>
          <w:color w:val="1F7A6C"/>
          <w:sz w:val="28"/>
          <w:szCs w:val="28"/>
        </w:rPr>
        <w:t>7. Funcionalidades do Software</w:t>
      </w:r>
    </w:p>
    <w:p>
      <w:pPr>
        <w:pStyle w:val="Normal"/>
        <w:spacing w:before="0" w:after="120"/>
        <w:rPr>
          <w:rFonts w:ascii="Calibri" w:hAnsi="Calibri"/>
        </w:rPr>
      </w:pPr>
      <w:r>
        <w:rPr>
          <w:rFonts w:eastAsia="Calibri" w:cs="Calibri" w:ascii="Calibri" w:hAnsi="Calibri"/>
          <w:i/>
          <w:iCs/>
          <w:sz w:val="20"/>
          <w:szCs w:val="20"/>
        </w:rPr>
        <w:t>Cada funcionalidade abaixo corresponde a um card no quadro Kanban de desenvolvimento; a coluna “Requisito(s) relacionado(s)” indica o que precisa ser satisfeito para o card ser considerado concluído (seção 12).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600"/>
        <w:gridCol w:w="1750"/>
        <w:gridCol w:w="4075"/>
        <w:gridCol w:w="2601"/>
      </w:tblGrid>
      <w:tr>
        <w:trPr>
          <w:tblHeader w:val="true"/>
          <w:cantSplit/>
        </w:trPr>
        <w:tc>
          <w:tcPr>
            <w:tcW w:w="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7A6C" w:val="clear"/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7A6C" w:val="clear"/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Funcionalidade</w:t>
            </w:r>
          </w:p>
        </w:tc>
        <w:tc>
          <w:tcPr>
            <w:tcW w:w="40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7A6C" w:val="clear"/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7A6C" w:val="clear"/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Requisito(s) relacionado(s)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F-01</w:t>
            </w:r>
          </w:p>
        </w:tc>
        <w:tc>
          <w:tcPr>
            <w:tcW w:w="1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Autorização segura (onboarding)</w:t>
            </w:r>
          </w:p>
        </w:tc>
        <w:tc>
          <w:tcPr>
            <w:tcW w:w="40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Concessão de acesso à caixa de entrada via OAuth2, sem uso de senha de aplicativo.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RF-02, RF-03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F-02</w:t>
            </w:r>
          </w:p>
        </w:tc>
        <w:tc>
          <w:tcPr>
            <w:tcW w:w="1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Monitoramento contínuo</w:t>
            </w:r>
          </w:p>
        </w:tc>
        <w:tc>
          <w:tcPr>
            <w:tcW w:w="40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Observação em segundo plano da caixa de entrada principal via IMAP/SSL.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RF-01, RF-04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F-03</w:t>
            </w:r>
          </w:p>
        </w:tc>
        <w:tc>
          <w:tcPr>
            <w:tcW w:w="1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Filtragem por hyperlink</w:t>
            </w:r>
          </w:p>
        </w:tc>
        <w:tc>
          <w:tcPr>
            <w:tcW w:w="40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Seleção das mensagens recebidas que contêm hyperlink; descarte das demais.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RF-05, RF-06</w:t>
            </w:r>
          </w:p>
        </w:tc>
      </w:tr>
      <w:tr>
        <w:trPr>
          <w:cantSplit/>
        </w:trPr>
        <w:tc>
          <w:tcPr>
            <w:tcW w:w="6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F-04</w:t>
            </w:r>
          </w:p>
        </w:tc>
        <w:tc>
          <w:tcPr>
            <w:tcW w:w="17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Identificação da empresa </w:t>
            </w:r>
          </w:p>
        </w:tc>
        <w:tc>
          <w:tcPr>
            <w:tcW w:w="407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Identificação da empresa aparentemente representada no conteúdo da mensagem, referenciando o Registro de Empresas. </w:t>
            </w:r>
          </w:p>
        </w:tc>
        <w:tc>
          <w:tcPr>
            <w:tcW w:w="26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RF-11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F-0</w:t>
            </w:r>
            <w:r>
              <w:rPr>
                <w:rFonts w:eastAsia="Calibri" w:cs="Calibri" w:ascii="Calibri" w:hAnsi="Calibri"/>
                <w:sz w:val="20"/>
                <w:szCs w:val="20"/>
              </w:rPr>
              <w:t>5</w:t>
            </w:r>
          </w:p>
        </w:tc>
        <w:tc>
          <w:tcPr>
            <w:tcW w:w="1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Validação de hyperlink</w:t>
            </w:r>
          </w:p>
        </w:tc>
        <w:tc>
          <w:tcPr>
            <w:tcW w:w="40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Checagem de link encurtado e de correspondência do domínio de destino com o domínio oficial da empresa remetente.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RF-07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F-0</w:t>
            </w:r>
            <w:r>
              <w:rPr>
                <w:rFonts w:eastAsia="Calibri" w:cs="Calibri" w:ascii="Calibri" w:hAnsi="Calibri"/>
                <w:sz w:val="20"/>
                <w:szCs w:val="20"/>
              </w:rPr>
              <w:t>6</w:t>
            </w:r>
          </w:p>
        </w:tc>
        <w:tc>
          <w:tcPr>
            <w:tcW w:w="1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Marcação de suspeita</w:t>
            </w:r>
          </w:p>
        </w:tc>
        <w:tc>
          <w:tcPr>
            <w:tcW w:w="40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Sinalização interna da mensagem como suspeita quando a validação falha.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RF-08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F-0</w:t>
            </w:r>
            <w:r>
              <w:rPr>
                <w:rFonts w:eastAsia="Calibri" w:cs="Calibri" w:ascii="Calibri" w:hAnsi="Calibri"/>
                <w:sz w:val="20"/>
                <w:szCs w:val="20"/>
              </w:rPr>
              <w:t>7</w:t>
            </w:r>
          </w:p>
        </w:tc>
        <w:tc>
          <w:tcPr>
            <w:tcW w:w="1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Notificação ao usuário</w:t>
            </w:r>
          </w:p>
        </w:tc>
        <w:tc>
          <w:tcPr>
            <w:tcW w:w="40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Aviso nativo do sistema operacional sobre mensagem(ns) suspeita(s).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RF-09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F-0</w:t>
            </w:r>
            <w:r>
              <w:rPr>
                <w:rFonts w:eastAsia="Calibri" w:cs="Calibri" w:ascii="Calibri" w:hAnsi="Calibri"/>
                <w:sz w:val="20"/>
                <w:szCs w:val="20"/>
              </w:rPr>
              <w:t>8</w:t>
            </w:r>
          </w:p>
        </w:tc>
        <w:tc>
          <w:tcPr>
            <w:tcW w:w="1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Relatório de inconsistências</w:t>
            </w:r>
          </w:p>
        </w:tc>
        <w:tc>
          <w:tcPr>
            <w:tcW w:w="40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Documento/registro detalhando os elementos que motivaram a suspeita.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RF-10</w:t>
            </w:r>
          </w:p>
        </w:tc>
      </w:tr>
    </w:tbl>
    <w:p>
      <w:pPr>
        <w:pStyle w:val="Normal"/>
        <w:spacing w:before="0" w:after="120"/>
        <w:rPr>
          <w:rFonts w:ascii="Calibri" w:hAnsi="Calibri"/>
        </w:rPr>
      </w:pPr>
      <w:r>
        <w:rPr>
          <w:rFonts w:eastAsia="Calibri" w:cs="Calibri" w:ascii="Calibri" w:hAnsi="Calibri"/>
          <w:i/>
          <w:iCs/>
          <w:sz w:val="20"/>
          <w:szCs w:val="20"/>
        </w:rPr>
        <w:t>Os RNFs (seção 6) são transversais — não pertencem a um card específico, mas são critério de aceitação de qualquer card que os toque (ex.: nenhum card pode violar RNF-02, independente da funcionalidade).</w:t>
      </w:r>
    </w:p>
    <w:p>
      <w:pPr>
        <w:pStyle w:val="Heading1"/>
        <w:pBdr>
          <w:bottom w:val="single" w:sz="6" w:space="4" w:color="1F7A6C"/>
        </w:pBdr>
        <w:spacing w:before="320" w:after="160"/>
        <w:rPr>
          <w:rFonts w:ascii="Calibri" w:hAnsi="Calibri"/>
        </w:rPr>
      </w:pPr>
      <w:r>
        <w:rPr>
          <w:rFonts w:eastAsia="Calibri" w:cs="Calibri" w:ascii="Calibri" w:hAnsi="Calibri"/>
          <w:b/>
          <w:bCs/>
          <w:color w:val="1F7A6C"/>
          <w:sz w:val="28"/>
          <w:szCs w:val="28"/>
        </w:rPr>
        <w:t>8</w:t>
      </w:r>
      <w:r>
        <w:rPr>
          <w:rFonts w:eastAsia="Calibri" w:cs="Calibri" w:ascii="Calibri" w:hAnsi="Calibri"/>
          <w:b/>
          <w:bCs/>
          <w:color w:val="1F7A6C"/>
          <w:sz w:val="28"/>
          <w:szCs w:val="28"/>
        </w:rPr>
        <w:t>. Matriz de Rastreabilidade (TR × Requisitos)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950"/>
        <w:gridCol w:w="4075"/>
        <w:gridCol w:w="2000"/>
        <w:gridCol w:w="2001"/>
      </w:tblGrid>
      <w:tr>
        <w:trPr>
          <w:tblHeader w:val="true"/>
          <w:cantSplit/>
        </w:trPr>
        <w:tc>
          <w:tcPr>
            <w:tcW w:w="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7A6C" w:val="clear"/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CA (TR)</w:t>
            </w:r>
          </w:p>
        </w:tc>
        <w:tc>
          <w:tcPr>
            <w:tcW w:w="40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7A6C" w:val="clear"/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Critério de aceitação (Termo de Referência)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7A6C" w:val="clear"/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Requisito(s) relacionado(s)</w:t>
            </w:r>
          </w:p>
        </w:tc>
        <w:tc>
          <w:tcPr>
            <w:tcW w:w="2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7A6C" w:val="clear"/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Observação</w:t>
            </w:r>
          </w:p>
        </w:tc>
      </w:tr>
      <w:tr>
        <w:trPr>
          <w:cantSplit/>
        </w:trPr>
        <w:tc>
          <w:tcPr>
            <w:tcW w:w="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CA-01</w:t>
            </w:r>
          </w:p>
        </w:tc>
        <w:tc>
          <w:tcPr>
            <w:tcW w:w="40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O aplicativo deve identificar mensagens que contenham hiperlinks.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RF-05</w:t>
            </w:r>
          </w:p>
        </w:tc>
        <w:tc>
          <w:tcPr>
            <w:tcW w:w="2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Conforme</w:t>
            </w:r>
          </w:p>
        </w:tc>
      </w:tr>
      <w:tr>
        <w:trPr>
          <w:cantSplit/>
        </w:trPr>
        <w:tc>
          <w:tcPr>
            <w:tcW w:w="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CA-02</w:t>
            </w:r>
          </w:p>
        </w:tc>
        <w:tc>
          <w:tcPr>
            <w:tcW w:w="40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O aplicativo deve sinalizar mensagens identificadas como suspeitas.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RF-08</w:t>
            </w:r>
          </w:p>
        </w:tc>
        <w:tc>
          <w:tcPr>
            <w:tcW w:w="2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Conforme</w:t>
            </w:r>
          </w:p>
        </w:tc>
      </w:tr>
      <w:tr>
        <w:trPr>
          <w:cantSplit/>
        </w:trPr>
        <w:tc>
          <w:tcPr>
            <w:tcW w:w="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CA-03</w:t>
            </w:r>
          </w:p>
        </w:tc>
        <w:tc>
          <w:tcPr>
            <w:tcW w:w="40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O aplicativo deve notificar o usuário sobre mensagens suspeitas.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RF-09</w:t>
            </w:r>
          </w:p>
        </w:tc>
        <w:tc>
          <w:tcPr>
            <w:tcW w:w="2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Conforme</w:t>
            </w:r>
          </w:p>
        </w:tc>
      </w:tr>
      <w:tr>
        <w:trPr>
          <w:cantSplit/>
        </w:trPr>
        <w:tc>
          <w:tcPr>
            <w:tcW w:w="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CA-04</w:t>
            </w:r>
          </w:p>
        </w:tc>
        <w:tc>
          <w:tcPr>
            <w:tcW w:w="40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O aplicativo deve apresentar os elementos suspeitos identificados na mensagem.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RF-10</w:t>
            </w:r>
          </w:p>
        </w:tc>
        <w:tc>
          <w:tcPr>
            <w:tcW w:w="2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Conforme</w:t>
            </w:r>
          </w:p>
        </w:tc>
      </w:tr>
      <w:tr>
        <w:trPr>
          <w:cantSplit/>
        </w:trPr>
        <w:tc>
          <w:tcPr>
            <w:tcW w:w="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CA-05</w:t>
            </w:r>
          </w:p>
        </w:tc>
        <w:tc>
          <w:tcPr>
            <w:tcW w:w="40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O aplicativo deve ignorar mensagens sem hiperlinks.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RF-06</w:t>
            </w:r>
          </w:p>
        </w:tc>
        <w:tc>
          <w:tcPr>
            <w:tcW w:w="2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Conforme</w:t>
            </w:r>
          </w:p>
        </w:tc>
      </w:tr>
      <w:tr>
        <w:trPr>
          <w:cantSplit/>
        </w:trPr>
        <w:tc>
          <w:tcPr>
            <w:tcW w:w="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CA-06</w:t>
            </w:r>
          </w:p>
        </w:tc>
        <w:tc>
          <w:tcPr>
            <w:tcW w:w="40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O aplicativo deve impedir a análise quando a senha de aplicativo não estiver configurada.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RF-03, RF-02</w:t>
            </w:r>
          </w:p>
        </w:tc>
        <w:tc>
          <w:tcPr>
            <w:tcW w:w="2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Divergente — ver seção 10</w:t>
            </w:r>
          </w:p>
        </w:tc>
      </w:tr>
      <w:tr>
        <w:trPr>
          <w:cantSplit/>
        </w:trPr>
        <w:tc>
          <w:tcPr>
            <w:tcW w:w="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CA-07</w:t>
            </w:r>
          </w:p>
        </w:tc>
        <w:tc>
          <w:tcPr>
            <w:tcW w:w="40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O aplicativo deve analisar cada mensagem em até 10 segundos após seu recebimento.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RNF-01</w:t>
            </w:r>
          </w:p>
        </w:tc>
        <w:tc>
          <w:tcPr>
            <w:tcW w:w="2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Conforme</w:t>
            </w:r>
          </w:p>
        </w:tc>
      </w:tr>
      <w:tr>
        <w:trPr>
          <w:cantSplit/>
        </w:trPr>
        <w:tc>
          <w:tcPr>
            <w:tcW w:w="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CA-08</w:t>
            </w:r>
          </w:p>
        </w:tc>
        <w:tc>
          <w:tcPr>
            <w:tcW w:w="40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O aplicativo deve ser instalado por terceiro seguindo exclusivamente o manual de instalação e uso.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RNF-06</w:t>
            </w:r>
          </w:p>
        </w:tc>
        <w:tc>
          <w:tcPr>
            <w:tcW w:w="2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Conforme</w:t>
            </w:r>
          </w:p>
        </w:tc>
      </w:tr>
    </w:tbl>
    <w:p>
      <w:pPr>
        <w:pStyle w:val="Heading1"/>
        <w:pBdr>
          <w:bottom w:val="single" w:sz="6" w:space="4" w:color="1F7A6C"/>
        </w:pBdr>
        <w:spacing w:before="320" w:after="160"/>
        <w:rPr>
          <w:rFonts w:ascii="Calibri" w:hAnsi="Calibri" w:eastAsia="Calibri" w:cs="Calibri"/>
          <w:b/>
          <w:bCs/>
          <w:color w:val="1F7A6C"/>
          <w:sz w:val="28"/>
          <w:szCs w:val="28"/>
        </w:rPr>
      </w:pPr>
      <w:r>
        <w:rPr>
          <w:rFonts w:eastAsia="Calibri" w:cs="Calibri" w:ascii="Calibri" w:hAnsi="Calibri"/>
          <w:b/>
          <w:bCs/>
          <w:color w:val="1F7A6C"/>
          <w:sz w:val="28"/>
          <w:szCs w:val="28"/>
        </w:rPr>
      </w:r>
      <w:r>
        <w:br w:type="page"/>
      </w:r>
    </w:p>
    <w:p>
      <w:pPr>
        <w:pStyle w:val="Heading1"/>
        <w:pBdr>
          <w:bottom w:val="single" w:sz="6" w:space="4" w:color="1F7A6C"/>
        </w:pBdr>
        <w:spacing w:before="320" w:after="160"/>
        <w:rPr>
          <w:rFonts w:ascii="Calibri" w:hAnsi="Calibri"/>
        </w:rPr>
      </w:pPr>
      <w:r>
        <w:rPr>
          <w:rFonts w:eastAsia="Calibri" w:cs="Calibri" w:ascii="Calibri" w:hAnsi="Calibri"/>
          <w:b/>
          <w:bCs/>
          <w:color w:val="1F7A6C"/>
          <w:sz w:val="28"/>
          <w:szCs w:val="28"/>
        </w:rPr>
        <w:t>9</w:t>
      </w:r>
      <w:r>
        <w:rPr>
          <w:rFonts w:eastAsia="Calibri" w:cs="Calibri" w:ascii="Calibri" w:hAnsi="Calibri"/>
          <w:b/>
          <w:bCs/>
          <w:color w:val="1F7A6C"/>
          <w:sz w:val="28"/>
          <w:szCs w:val="28"/>
        </w:rPr>
        <w:t>. Observações e Divergências Identificadas</w:t>
      </w:r>
    </w:p>
    <w:p>
      <w:pPr>
        <w:pStyle w:val="Normal"/>
        <w:spacing w:before="0" w:after="120"/>
        <w:rPr>
          <w:rFonts w:ascii="Calibri" w:hAnsi="Calibri"/>
        </w:rPr>
      </w:pPr>
      <w:r>
        <w:rPr>
          <w:rFonts w:eastAsia="Calibri" w:cs="Calibri" w:ascii="Calibri" w:hAnsi="Calibri"/>
          <w:b/>
          <w:bCs/>
          <w:sz w:val="22"/>
          <w:szCs w:val="22"/>
        </w:rPr>
        <w:t>Durante a entrevista, dois pontos do Termo de Referência v1.0 precisaram de reconciliação com a arquitetura real do projeto (C#, MailKit, IMAP/OAuth2):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Calibri" w:hAnsi="Calibri"/>
        </w:rPr>
      </w:pPr>
      <w:r>
        <w:rPr>
          <w:rFonts w:eastAsia="Calibri" w:cs="Calibri" w:ascii="Calibri" w:hAnsi="Calibri"/>
          <w:sz w:val="22"/>
          <w:szCs w:val="22"/>
        </w:rPr>
        <w:t>CA-06 pressupõe autenticação por senha de aplicativo. A arquitetura adotada usa OAuth2, um mecanismo diferente. RF-03 reescreve o critério em termos equivalentes (bloqueio de análise sem autorização válida), mas essa é uma mudança de especificação, não apenas de redação.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Calibri" w:hAnsi="Calibri" w:eastAsia="Calibri" w:cs="Calibri"/>
          <w:sz w:val="22"/>
          <w:szCs w:val="22"/>
        </w:rPr>
      </w:pPr>
      <w:r>
        <w:rPr>
          <w:rFonts w:eastAsia="Calibri" w:cs="Calibri" w:ascii="Calibri" w:hAnsi="Calibri"/>
          <w:sz w:val="22"/>
          <w:szCs w:val="22"/>
        </w:rPr>
        <w:t>O item “Integração com Provedores de Correio Eletrônico” do escopo excluído (TR, seção 3.3) foi originalmente escrito supondo que qualquer acesso à conta real do usuário estaria fora do alcance da equipe. A equipe esclareceu que o acesso via OAuth2 público (sem parceria/cooperação formal com Google ou Microsoft) não constitui a integração cooperativa que aquele item pretendia excluir, mas ainda assim representa uma dependência de provedor externo que o TR não registrava explicitamente.</w:t>
      </w:r>
    </w:p>
    <w:p>
      <w:pPr>
        <w:pStyle w:val="ListParagraph"/>
        <w:numPr>
          <w:ilvl w:val="0"/>
          <w:numId w:val="1"/>
        </w:numPr>
        <w:bidi w:val="0"/>
        <w:spacing w:before="0" w:after="80"/>
        <w:rPr>
          <w:rFonts w:ascii="Calibri" w:hAnsi="Calibri"/>
        </w:rPr>
      </w:pPr>
      <w:r>
        <w:rPr>
          <w:rFonts w:eastAsia="Calibri" w:cs="Calibri" w:ascii="Calibri" w:hAnsi="Calibri"/>
          <w:sz w:val="22"/>
          <w:szCs w:val="22"/>
        </w:rPr>
        <w:t xml:space="preserve">RF-11 e a extensão (c) de RF-07 formalizam, como requisito, um passo que já estava implícito no mecanismo de validação (a identificação da "empresa aparentemente remetente" citada em RF-07 desde a v1.0) e a comparação do endereço do remetente e a comparação do endereço do remetente, hoje ausente do TR, </w:t>
      </w:r>
      <w:r>
        <w:rPr>
          <w:rFonts w:eastAsia="Calibri" w:cs="Calibri" w:ascii="Calibri" w:hAnsi="Calibri"/>
          <w:sz w:val="22"/>
          <w:szCs w:val="22"/>
        </w:rPr>
        <w:t>já que e um detalhe técnico de implementaçao.</w:t>
      </w:r>
    </w:p>
    <w:p>
      <w:pPr>
        <w:pStyle w:val="Heading1"/>
        <w:pBdr>
          <w:bottom w:val="single" w:sz="6" w:space="4" w:color="1F7A6C"/>
        </w:pBdr>
        <w:spacing w:before="320" w:after="160"/>
        <w:rPr>
          <w:rFonts w:ascii="Calibri" w:hAnsi="Calibri" w:eastAsia="Calibri" w:cs="Calibri"/>
          <w:b/>
          <w:bCs/>
          <w:color w:val="1F7A6C"/>
          <w:sz w:val="28"/>
          <w:szCs w:val="28"/>
        </w:rPr>
      </w:pPr>
      <w:r>
        <w:rPr>
          <w:rFonts w:eastAsia="Calibri" w:cs="Calibri" w:ascii="Calibri" w:hAnsi="Calibri"/>
          <w:b/>
          <w:bCs/>
          <w:color w:val="1F7A6C"/>
          <w:sz w:val="28"/>
          <w:szCs w:val="28"/>
        </w:rPr>
      </w:r>
      <w:r>
        <w:br w:type="page"/>
      </w:r>
    </w:p>
    <w:p>
      <w:pPr>
        <w:pStyle w:val="Heading1"/>
        <w:pBdr>
          <w:bottom w:val="single" w:sz="6" w:space="4" w:color="1F7A6C"/>
        </w:pBdr>
        <w:spacing w:before="320" w:after="160"/>
        <w:rPr>
          <w:rFonts w:ascii="Calibri" w:hAnsi="Calibri"/>
        </w:rPr>
      </w:pPr>
      <w:r>
        <w:rPr>
          <w:rFonts w:eastAsia="Calibri" w:cs="Calibri" w:ascii="Calibri" w:hAnsi="Calibri"/>
          <w:b/>
          <w:bCs/>
          <w:color w:val="1F7A6C"/>
          <w:sz w:val="28"/>
          <w:szCs w:val="28"/>
        </w:rPr>
        <w:t>10</w:t>
      </w:r>
      <w:r>
        <w:rPr>
          <w:rFonts w:eastAsia="Calibri" w:cs="Calibri" w:ascii="Calibri" w:hAnsi="Calibri"/>
          <w:b/>
          <w:bCs/>
          <w:color w:val="1F7A6C"/>
          <w:sz w:val="28"/>
          <w:szCs w:val="28"/>
        </w:rPr>
        <w:t>. Definition of Ready (DoR)</w:t>
      </w:r>
    </w:p>
    <w:p>
      <w:pPr>
        <w:pStyle w:val="Normal"/>
        <w:spacing w:before="0" w:after="120"/>
        <w:rPr>
          <w:rFonts w:ascii="Calibri" w:hAnsi="Calibri"/>
        </w:rPr>
      </w:pPr>
      <w:r>
        <w:rPr>
          <w:rFonts w:eastAsia="Calibri" w:cs="Calibri" w:ascii="Calibri" w:hAnsi="Calibri"/>
          <w:sz w:val="22"/>
          <w:szCs w:val="22"/>
        </w:rPr>
        <w:t>Desenvolvimento solo, com apoio de codificação agêntica, organizado em Kanban — cada funcionalidade (seção 7) é um card. Um card está pronto para entrar em “Em andamento” quando: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Calibri" w:hAnsi="Calibri"/>
        </w:rPr>
      </w:pPr>
      <w:r>
        <w:rPr>
          <w:rFonts w:eastAsia="Calibri" w:cs="Calibri" w:ascii="Calibri" w:hAnsi="Calibri"/>
          <w:sz w:val="22"/>
          <w:szCs w:val="22"/>
        </w:rPr>
        <w:t>O card referencia a funcionalidade (F-XX) e os requisitos e critério(s) de aceitação relacionados (seção 7 e 9).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Calibri" w:hAnsi="Calibri"/>
        </w:rPr>
      </w:pPr>
      <w:r>
        <w:rPr>
          <w:rFonts w:eastAsia="Calibri" w:cs="Calibri" w:ascii="Calibri" w:hAnsi="Calibri"/>
          <w:sz w:val="22"/>
          <w:szCs w:val="22"/>
        </w:rPr>
        <w:t>Os dados necessários para implementar e testar existem (ex.: amostra local de templates e alguns links de teste — seção 8).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Calibri" w:hAnsi="Calibri"/>
        </w:rPr>
      </w:pPr>
      <w:r>
        <w:rPr>
          <w:rFonts w:eastAsia="Calibri" w:cs="Calibri" w:ascii="Calibri" w:hAnsi="Calibri"/>
          <w:sz w:val="22"/>
          <w:szCs w:val="22"/>
        </w:rPr>
        <w:t>O card não depende de outro card ainda não concluído.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Calibri" w:hAnsi="Calibri"/>
        </w:rPr>
      </w:pPr>
      <w:r>
        <w:rPr>
          <w:rFonts w:eastAsia="Calibri" w:cs="Calibri" w:ascii="Calibri" w:hAnsi="Calibri"/>
          <w:sz w:val="22"/>
          <w:szCs w:val="22"/>
        </w:rPr>
        <w:t>O card não esbarra em nada do escopo excluído do TR (seção 3.3 / 4.2).</w:t>
      </w:r>
    </w:p>
    <w:p>
      <w:pPr>
        <w:pStyle w:val="Heading1"/>
        <w:pBdr>
          <w:bottom w:val="single" w:sz="6" w:space="4" w:color="1F7A6C"/>
        </w:pBdr>
        <w:spacing w:before="320" w:after="160"/>
        <w:rPr>
          <w:rFonts w:ascii="Calibri" w:hAnsi="Calibri"/>
        </w:rPr>
      </w:pPr>
      <w:r>
        <w:rPr>
          <w:rFonts w:eastAsia="Calibri" w:cs="Calibri" w:ascii="Calibri" w:hAnsi="Calibri"/>
          <w:b/>
          <w:bCs/>
          <w:color w:val="1F7A6C"/>
          <w:sz w:val="28"/>
          <w:szCs w:val="28"/>
        </w:rPr>
        <w:t>12. Definition of Done (DoD)</w:t>
      </w:r>
    </w:p>
    <w:p>
      <w:pPr>
        <w:pStyle w:val="Normal"/>
        <w:spacing w:before="0" w:after="120"/>
        <w:rPr>
          <w:rFonts w:ascii="Calibri" w:hAnsi="Calibri"/>
        </w:rPr>
      </w:pPr>
      <w:r>
        <w:rPr>
          <w:rFonts w:eastAsia="Calibri" w:cs="Calibri" w:ascii="Calibri" w:hAnsi="Calibri"/>
          <w:sz w:val="22"/>
          <w:szCs w:val="22"/>
        </w:rPr>
        <w:t>Um card está concluído quando: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Calibri" w:hAnsi="Calibri"/>
        </w:rPr>
      </w:pPr>
      <w:r>
        <w:rPr>
          <w:rFonts w:eastAsia="Calibri" w:cs="Calibri" w:ascii="Calibri" w:hAnsi="Calibri"/>
          <w:sz w:val="22"/>
          <w:szCs w:val="22"/>
        </w:rPr>
        <w:t>O código está implementado e commitado no repositório.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Calibri" w:hAnsi="Calibri"/>
        </w:rPr>
      </w:pPr>
      <w:r>
        <w:rPr>
          <w:rFonts w:eastAsia="Calibri" w:cs="Calibri" w:ascii="Calibri" w:hAnsi="Calibri"/>
          <w:sz w:val="22"/>
          <w:szCs w:val="22"/>
        </w:rPr>
        <w:t>A funcionalidade foi testada contra o(s) critério(s) de aceitação relacionado(s) (matriz da seção 9) e passou.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Calibri" w:hAnsi="Calibri"/>
        </w:rPr>
      </w:pPr>
      <w:r>
        <w:rPr>
          <w:rFonts w:eastAsia="Calibri" w:cs="Calibri" w:ascii="Calibri" w:hAnsi="Calibri"/>
          <w:sz w:val="22"/>
          <w:szCs w:val="22"/>
        </w:rPr>
        <w:t>Nenhum critério de aceitação já conforme foi quebrado por essa mudança (sem regressão).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Calibri" w:hAnsi="Calibri"/>
        </w:rPr>
      </w:pPr>
      <w:r>
        <w:rPr>
          <w:rFonts w:eastAsia="Calibri" w:cs="Calibri" w:ascii="Calibri" w:hAnsi="Calibri"/>
          <w:sz w:val="22"/>
          <w:szCs w:val="22"/>
        </w:rPr>
        <w:t>Nenhuma credencial, senha ou segredo (client secret, token) ficou hardcoded no código.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Calibri" w:hAnsi="Calibri"/>
        </w:rPr>
      </w:pPr>
      <w:r>
        <w:rPr>
          <w:rFonts w:eastAsia="Calibri" w:cs="Calibri" w:ascii="Calibri" w:hAnsi="Calibri"/>
          <w:sz w:val="22"/>
          <w:szCs w:val="22"/>
        </w:rPr>
        <w:t>O card foi movido para “Concluído” no quadro Kanban.</w:t>
      </w:r>
    </w:p>
    <w:p>
      <w:pPr>
        <w:pStyle w:val="Heading1"/>
        <w:pBdr>
          <w:bottom w:val="single" w:sz="6" w:space="4" w:color="1F7A6C"/>
        </w:pBdr>
        <w:spacing w:before="320" w:after="160"/>
        <w:rPr>
          <w:rFonts w:ascii="Calibri" w:hAnsi="Calibri"/>
        </w:rPr>
      </w:pPr>
      <w:r>
        <w:rPr>
          <w:rFonts w:eastAsia="Calibri" w:cs="Calibri" w:ascii="Calibri" w:hAnsi="Calibri"/>
          <w:b/>
          <w:bCs/>
          <w:color w:val="1F7A6C"/>
          <w:sz w:val="28"/>
          <w:szCs w:val="28"/>
        </w:rPr>
        <w:t>13. Controle de Versão do Documento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1199"/>
        <w:gridCol w:w="1401"/>
        <w:gridCol w:w="2599"/>
        <w:gridCol w:w="3827"/>
      </w:tblGrid>
      <w:tr>
        <w:trPr>
          <w:tblHeader w:val="true"/>
          <w:cantSplit/>
        </w:trPr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7A6C" w:val="clear"/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Versão</w:t>
            </w:r>
          </w:p>
        </w:tc>
        <w:tc>
          <w:tcPr>
            <w:tcW w:w="1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7A6C" w:val="clear"/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Data</w:t>
            </w:r>
          </w:p>
        </w:tc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7A6C" w:val="clear"/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Item alterado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7A6C" w:val="clear"/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Razão e impacto</w:t>
            </w:r>
          </w:p>
        </w:tc>
      </w:tr>
      <w:tr>
        <w:trPr>
          <w:cantSplit/>
        </w:trPr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1.0</w:t>
            </w:r>
          </w:p>
        </w:tc>
        <w:tc>
          <w:tcPr>
            <w:tcW w:w="1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24/09/2026</w:t>
            </w:r>
          </w:p>
        </w:tc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Emissão inicial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Elaborado a partir da entrevista estruturada (Blocos A–H) e do Termo de Referência v1.0.</w:t>
            </w:r>
          </w:p>
        </w:tc>
      </w:tr>
      <w:tr>
        <w:trPr>
          <w:cantSplit/>
        </w:trPr>
        <w:tc>
          <w:tcPr>
            <w:tcW w:w="11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1.1</w:t>
            </w:r>
          </w:p>
        </w:tc>
        <w:tc>
          <w:tcPr>
            <w:tcW w:w="1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25/09/2026</w:t>
            </w:r>
          </w:p>
        </w:tc>
        <w:tc>
          <w:tcPr>
            <w:tcW w:w="25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RF-07 estendido, RF-11 adicionado</w:t>
            </w:r>
          </w:p>
        </w:tc>
        <w:tc>
          <w:tcPr>
            <w:tcW w:w="382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Formaliza a identificação da empresa por conteúdo e a checagem de domínio do remetente (antes implícitas no algoritmo, sem requisito de origem declarada); </w:t>
            </w:r>
          </w:p>
        </w:tc>
      </w:tr>
    </w:tbl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variable"/>
  </w:font>
  <w:font w:name="Calibri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Calibri" w:cs="Calibri" w:ascii="Calibri" w:hAnsi="Calibri"/>
        <w:color w:val="888888"/>
        <w:sz w:val="15"/>
        <w:szCs w:val="15"/>
      </w:rPr>
      <w:t xml:space="preserve">UNIASSELVI — Engenharia de Software  |  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  <w:r>
      <w:rPr>
        <w:rFonts w:eastAsia="Calibri" w:cs="Calibri" w:ascii="Calibri" w:hAnsi="Calibri"/>
        <w:color w:val="888888"/>
        <w:sz w:val="15"/>
        <w:szCs w:val="15"/>
      </w:rPr>
      <w:t xml:space="preserve"> de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Calibri" w:cs="Calibri" w:ascii="Calibri" w:hAnsi="Calibri"/>
        <w:color w:val="888888"/>
        <w:sz w:val="15"/>
        <w:szCs w:val="15"/>
      </w:rPr>
      <w:t xml:space="preserve">UNIASSELVI — Engenharia de Software  |  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  <w:r>
      <w:rPr>
        <w:rFonts w:eastAsia="Calibri" w:cs="Calibri" w:ascii="Calibri" w:hAnsi="Calibri"/>
        <w:color w:val="888888"/>
        <w:sz w:val="15"/>
        <w:szCs w:val="15"/>
      </w:rPr>
      <w:t xml:space="preserve"> de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2" w:color="CCCCCC"/>
      </w:pBdr>
      <w:rPr/>
    </w:pPr>
    <w:r>
      <w:rPr>
        <w:rFonts w:eastAsia="Calibri" w:cs="Calibri" w:ascii="Calibri" w:hAnsi="Calibri"/>
        <w:color w:val="888888"/>
        <w:sz w:val="15"/>
        <w:szCs w:val="15"/>
      </w:rPr>
      <w:t>Aplicativo de Detecção de Tentativas de Phishing por Correio Eletrônico | Documento de Requisitos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2" w:color="CCCCCC"/>
      </w:pBdr>
      <w:rPr/>
    </w:pPr>
    <w:r>
      <w:rPr>
        <w:rFonts w:eastAsia="Calibri" w:cs="Calibri" w:ascii="Calibri" w:hAnsi="Calibri"/>
        <w:color w:val="888888"/>
        <w:sz w:val="15"/>
        <w:szCs w:val="15"/>
      </w:rPr>
      <w:t>Aplicativo de Detecção de Tentativas de Phishing por Correio Eletrônico | Documento de Requisitos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360" w:hanging="20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before="0" w:after="0"/>
      <w:jc w:val="start"/>
    </w:pPr>
    <w:rPr>
      <w:rFonts w:ascii="Times New Roman" w:hAnsi="Times New Roman" w:eastAsia="NSimSun" w:cs="Arial"/>
      <w:color w:val="auto"/>
      <w:kern w:val="0"/>
      <w:sz w:val="20"/>
      <w:szCs w:val="20"/>
      <w:lang w:val="pt-BR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Characters">
    <w:name w:val="Endnote Characters"/>
    <w:uiPriority w:val="99"/>
    <w:semiHidden/>
    <w:unhideWhenUsed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Arial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SimSun" w:cs="Arial"/>
      <w:b/>
      <w:bCs/>
      <w:color w:val="auto"/>
      <w:kern w:val="0"/>
      <w:sz w:val="20"/>
      <w:szCs w:val="20"/>
      <w:lang w:val="pt-B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SimSun" w:cs="Arial"/>
      <w:color w:val="auto"/>
      <w:kern w:val="0"/>
      <w:sz w:val="20"/>
      <w:szCs w:val="20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LibreOffice/26.8.0.3$Windows_X86_64 LibreOffice_project/bce0998afefdbc355585ca324285661a2170ba77</Application>
  <AppVersion>15.0000</AppVersion>
  <Pages>7</Pages>
  <Words>1996</Words>
  <Characters>11476</Characters>
  <CharactersWithSpaces>13260</CharactersWithSpaces>
  <Paragraphs>220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2026-09-24T23:14:07Z</dcterms:created>
  <dc:creator>Un-named</dc:creator>
  <dc:description/>
  <dc:language>pt-BR</dc:language>
  <cp:lastModifiedBy/>
  <cp:lastPrinted>2026-09-25T21:09:44Z</cp:lastPrinted>
  <dcterms:modified xsi:type="dcterms:W3CDTF">2026-09-25T21:08:56Z</dcterms:modified>
  <cp:revision>2</cp:revision>
  <dc:subject/>
  <dc:title/>
</cp:coreProperties>
</file>