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900" w:after="200"/>
        <w:jc w:val="center"/>
        <w:rPr>
          <w:rFonts w:ascii="Arial" w:hAnsi="Arial"/>
        </w:rPr>
      </w:pPr>
      <w:r>
        <w:rPr/>
        <w:drawing>
          <wp:inline distT="0" distB="0" distL="0" distR="0">
            <wp:extent cx="1809750" cy="128587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285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80"/>
        <w:jc w:val="center"/>
        <w:rPr>
          <w:rFonts w:ascii="Arial" w:hAnsi="Arial"/>
        </w:rPr>
      </w:pPr>
      <w:r>
        <w:rPr>
          <w:rFonts w:eastAsia="Calibri" w:cs="Calibri" w:ascii="Arial" w:hAnsi="Arial"/>
          <w:b/>
          <w:bCs/>
          <w:color w:val="333333"/>
          <w:sz w:val="20"/>
          <w:szCs w:val="20"/>
        </w:rPr>
        <w:t>CENTRO UNIVERSITÁRIO LEONARDO DA VINCI — UNIASSELVI</w:t>
      </w:r>
    </w:p>
    <w:p>
      <w:pPr>
        <w:pStyle w:val="Normal"/>
        <w:spacing w:before="0" w:after="600"/>
        <w:jc w:val="center"/>
        <w:rPr>
          <w:rFonts w:ascii="Arial" w:hAnsi="Arial"/>
        </w:rPr>
      </w:pPr>
      <w:r>
        <w:rPr>
          <w:rFonts w:eastAsia="Calibri" w:cs="Calibri" w:ascii="Arial" w:hAnsi="Arial"/>
          <w:color w:val="5A5A5A"/>
          <w:sz w:val="20"/>
          <w:szCs w:val="20"/>
        </w:rPr>
        <w:t>Engenharia de Software — 7º período</w:t>
      </w:r>
    </w:p>
    <w:p>
      <w:pPr>
        <w:pStyle w:val="Normal"/>
        <w:spacing w:before="0" w:after="120"/>
        <w:jc w:val="center"/>
        <w:rPr>
          <w:rFonts w:ascii="Arial" w:hAnsi="Arial"/>
        </w:rPr>
      </w:pPr>
      <w:r>
        <w:rPr>
          <w:rFonts w:eastAsia="Calibri" w:cs="Calibri" w:ascii="Arial" w:hAnsi="Arial"/>
          <w:b/>
          <w:bCs/>
          <w:color w:val="00A59A"/>
          <w:sz w:val="30"/>
          <w:szCs w:val="30"/>
        </w:rPr>
        <w:t>Experiência Profissional: Desenvolvimento de Aplicações</w:t>
      </w:r>
    </w:p>
    <w:p>
      <w:pPr>
        <w:pStyle w:val="Normal"/>
        <w:spacing w:before="0" w:after="700"/>
        <w:jc w:val="center"/>
        <w:rPr>
          <w:rFonts w:ascii="Arial" w:hAnsi="Arial"/>
        </w:rPr>
      </w:pPr>
      <w:r>
        <w:rPr>
          <w:rFonts w:eastAsia="Calibri" w:cs="Calibri" w:ascii="Arial" w:hAnsi="Arial"/>
          <w:b/>
          <w:bCs/>
          <w:color w:val="00695F"/>
          <w:sz w:val="40"/>
          <w:szCs w:val="40"/>
        </w:rPr>
        <w:t>Termo de Referência</w:t>
      </w:r>
    </w:p>
    <w:p>
      <w:pPr>
        <w:pStyle w:val="Normal"/>
        <w:spacing w:before="0" w:after="100"/>
        <w:jc w:val="center"/>
        <w:rPr>
          <w:rFonts w:ascii="Arial" w:hAnsi="Arial"/>
        </w:rPr>
      </w:pPr>
      <w:r>
        <w:rPr>
          <w:rFonts w:eastAsia="Calibri" w:cs="Calibri" w:ascii="Arial" w:hAnsi="Arial"/>
          <w:color w:val="5A5A5A"/>
          <w:sz w:val="22"/>
          <w:szCs w:val="22"/>
        </w:rPr>
        <w:t>Devolutiva da Atividade 1</w:t>
      </w:r>
    </w:p>
    <w:p>
      <w:pPr>
        <w:pStyle w:val="Normal"/>
        <w:spacing w:before="900" w:after="40"/>
        <w:jc w:val="center"/>
        <w:rPr>
          <w:rFonts w:ascii="Arial" w:hAnsi="Arial"/>
        </w:rPr>
      </w:pPr>
      <w:r>
        <w:rPr>
          <w:rFonts w:eastAsia="Calibri" w:cs="Calibri" w:ascii="Arial" w:hAnsi="Arial"/>
          <w:b/>
          <w:bCs/>
          <w:color w:val="333333"/>
          <w:sz w:val="22"/>
          <w:szCs w:val="22"/>
        </w:rPr>
        <w:t>Prof. Evaldo A. Oliveira</w:t>
      </w:r>
    </w:p>
    <w:p>
      <w:pPr>
        <w:pStyle w:val="Normal"/>
        <w:spacing w:before="0" w:after="40"/>
        <w:jc w:val="center"/>
        <w:rPr>
          <w:rFonts w:ascii="Arial" w:hAnsi="Arial"/>
        </w:rPr>
      </w:pPr>
      <w:r>
        <w:rPr>
          <w:rFonts w:eastAsia="Calibri" w:cs="Calibri" w:ascii="Arial" w:hAnsi="Arial"/>
          <w:color w:val="5A5A5A"/>
          <w:sz w:val="20"/>
          <w:szCs w:val="20"/>
        </w:rPr>
        <w:t>Carga horária total: 80 horas</w:t>
      </w:r>
    </w:p>
    <w:p>
      <w:pPr>
        <w:pStyle w:val="Normal"/>
        <w:rPr>
          <w:rFonts w:ascii="Arial" w:hAnsi="Arial"/>
        </w:rPr>
      </w:pPr>
      <w:r>
        <w:rPr/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Heading1"/>
        <w:pBdr>
          <w:bottom w:val="single" w:sz="8" w:space="6" w:color="FFDA1A"/>
        </w:pBdr>
        <w:spacing w:before="0" w:after="200"/>
        <w:rPr>
          <w:rFonts w:ascii="Arial" w:hAnsi="Arial"/>
        </w:rPr>
      </w:pPr>
      <w:r>
        <w:rPr>
          <w:rFonts w:eastAsia="Calibri" w:cs="Calibri" w:ascii="Arial" w:hAnsi="Arial"/>
          <w:b/>
          <w:bCs/>
          <w:color w:val="00695F"/>
          <w:sz w:val="32"/>
          <w:szCs w:val="32"/>
        </w:rPr>
        <w:t>1. Identificação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10" w:type="dxa"/>
          <w:bottom w:w="80" w:type="dxa"/>
          <w:end w:w="110" w:type="dxa"/>
        </w:tblCellMar>
      </w:tblPr>
      <w:tblGrid>
        <w:gridCol w:w="2500"/>
        <w:gridCol w:w="6860"/>
      </w:tblGrid>
      <w:tr>
        <w:trPr>
          <w:tblHeader w:val="true"/>
        </w:trPr>
        <w:tc>
          <w:tcPr>
            <w:tcW w:w="250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00A59A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00A59A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FFFFFF"/>
                <w:sz w:val="20"/>
                <w:szCs w:val="20"/>
              </w:rPr>
              <w:t>Conteúdo</w:t>
            </w:r>
          </w:p>
        </w:tc>
      </w:tr>
      <w:tr>
        <w:trPr/>
        <w:tc>
          <w:tcPr>
            <w:tcW w:w="250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333333"/>
                <w:sz w:val="20"/>
                <w:szCs w:val="20"/>
              </w:rPr>
              <w:t>Nome do projeto</w:t>
            </w:r>
          </w:p>
        </w:tc>
        <w:tc>
          <w:tcPr>
            <w:tcW w:w="686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>Aplicativo de Detecção de Tentativas de Phishing por Correio Eletrônico (E-mail)</w:t>
            </w:r>
          </w:p>
        </w:tc>
      </w:tr>
      <w:tr>
        <w:trPr/>
        <w:tc>
          <w:tcPr>
            <w:tcW w:w="250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333333"/>
                <w:sz w:val="20"/>
                <w:szCs w:val="20"/>
              </w:rPr>
              <w:t>Solicitante</w:t>
            </w:r>
          </w:p>
        </w:tc>
        <w:tc>
          <w:tcPr>
            <w:tcW w:w="686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9" w:before="0" w:after="60"/>
              <w:jc w:val="both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>Levantamento feito a partir de contexto observado</w:t>
            </w:r>
          </w:p>
        </w:tc>
      </w:tr>
      <w:tr>
        <w:trPr/>
        <w:tc>
          <w:tcPr>
            <w:tcW w:w="250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333333"/>
                <w:sz w:val="20"/>
                <w:szCs w:val="20"/>
              </w:rPr>
              <w:t>Equipe executora e papéis</w:t>
            </w:r>
          </w:p>
        </w:tc>
        <w:tc>
          <w:tcPr>
            <w:tcW w:w="686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Ethan Buttazzi – Projetista, Pesquisador e Executor </w:t>
            </w:r>
          </w:p>
        </w:tc>
      </w:tr>
      <w:tr>
        <w:trPr/>
        <w:tc>
          <w:tcPr>
            <w:tcW w:w="250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333333"/>
                <w:sz w:val="20"/>
                <w:szCs w:val="20"/>
              </w:rPr>
              <w:t>Data de emissão</w:t>
            </w:r>
          </w:p>
        </w:tc>
        <w:tc>
          <w:tcPr>
            <w:tcW w:w="686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>01/09/2026</w:t>
            </w:r>
          </w:p>
        </w:tc>
      </w:tr>
      <w:tr>
        <w:trPr/>
        <w:tc>
          <w:tcPr>
            <w:tcW w:w="250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333333"/>
                <w:sz w:val="20"/>
                <w:szCs w:val="20"/>
              </w:rPr>
              <w:t>Versão</w:t>
            </w:r>
          </w:p>
        </w:tc>
        <w:tc>
          <w:tcPr>
            <w:tcW w:w="686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>1.0</w:t>
            </w:r>
          </w:p>
        </w:tc>
      </w:tr>
      <w:tr>
        <w:trPr/>
        <w:tc>
          <w:tcPr>
            <w:tcW w:w="250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333333"/>
                <w:sz w:val="20"/>
                <w:szCs w:val="20"/>
              </w:rPr>
              <w:t>Vínculo acadêmico</w:t>
            </w:r>
          </w:p>
        </w:tc>
        <w:tc>
          <w:tcPr>
            <w:tcW w:w="686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>Trabalho de Conclusão de Curso — Engenharia de Software — 7º período — UNIASSELVI</w:t>
            </w:r>
          </w:p>
        </w:tc>
      </w:tr>
    </w:tbl>
    <w:p>
      <w:pPr>
        <w:pStyle w:val="Heading1"/>
        <w:pBdr>
          <w:bottom w:val="single" w:sz="8" w:space="6" w:color="FFDA1A"/>
        </w:pBdr>
        <w:spacing w:before="360" w:after="200"/>
        <w:rPr>
          <w:rFonts w:ascii="Arial" w:hAnsi="Arial"/>
        </w:rPr>
      </w:pPr>
      <w:r>
        <w:rPr>
          <w:rFonts w:eastAsia="Calibri" w:cs="Calibri" w:ascii="Arial" w:hAnsi="Arial"/>
          <w:b/>
          <w:bCs/>
          <w:color w:val="00695F"/>
          <w:sz w:val="32"/>
          <w:szCs w:val="32"/>
        </w:rPr>
        <w:t>2. Contexto e Justificativa</w:t>
      </w:r>
    </w:p>
    <w:p>
      <w:pPr>
        <w:pStyle w:val="BodyText"/>
        <w:spacing w:lineRule="auto" w:line="276" w:before="0" w:after="140"/>
        <w:jc w:val="both"/>
        <w:rPr>
          <w:rFonts w:ascii="Arial" w:hAnsi="Arial" w:eastAsia="Calibri" w:cs="Calibri"/>
          <w:color w:val="333333"/>
          <w:sz w:val="22"/>
          <w:szCs w:val="22"/>
        </w:rPr>
      </w:pPr>
      <w:r>
        <w:rPr>
          <w:rFonts w:eastAsia="Calibri" w:cs="Calibri" w:ascii="Arial" w:hAnsi="Arial"/>
          <w:color w:val="333333"/>
          <w:sz w:val="22"/>
          <w:szCs w:val="22"/>
        </w:rPr>
        <w:t>As facilidades proporcionadas pelo mundo moderno transformaram a comunicação, que passou a ocorrer de forma instantânea e em escala global. Essa agilidade também ampliou a quantidade de informações e oportunidades para a exploração financeira e emocional das pessoas, permitindo que criminosos atuem de praticamente qualquer lugar do mundo. A velocidade e a forma da comunicação mudaram, mas a natureza humana permaneceu essencialmente a mesma. Assim como golpes tradicionais, os golpes digitais exploram medo, urgência, curiosidade, confiança e outras características humanas para induzir suas vítimas a tomar decisões.</w:t>
      </w:r>
    </w:p>
    <w:p>
      <w:pPr>
        <w:pStyle w:val="BodyText"/>
        <w:spacing w:lineRule="auto" w:line="276"/>
        <w:jc w:val="both"/>
        <w:rPr>
          <w:rFonts w:ascii="Arial" w:hAnsi="Arial"/>
        </w:rPr>
      </w:pPr>
      <w:r>
        <w:rPr>
          <w:rFonts w:ascii="Arial" w:hAnsi="Arial"/>
        </w:rPr>
        <w:t>Nesse contexto, pessoas físicas e pequenos empreendedores utilizam serviços de e-mail para atividades cotidianas, como receber e pagar boletos e contas, acompanhar compras, tratar de questões bancárias, trabalhar e manter contato com clientes e fornecedores. Consequentemente, esses usuários estão expostos a mensagens que podem se passar por empresas, instituições e serviços legítimos. Com a evolução das técnicas de phishing, falsificação de remetentes e engenharia social, essas tentativas se tornaram cada vez mais convincentes, dificultando sua identificação.</w:t>
      </w:r>
    </w:p>
    <w:p>
      <w:pPr>
        <w:pStyle w:val="BodyText"/>
        <w:spacing w:lineRule="auto" w:line="276"/>
        <w:jc w:val="both"/>
        <w:rPr>
          <w:rFonts w:ascii="Arial" w:hAnsi="Arial"/>
        </w:rPr>
      </w:pPr>
      <w:r>
        <w:rPr>
          <w:rFonts w:ascii="Arial" w:hAnsi="Arial"/>
        </w:rPr>
        <w:t xml:space="preserve">A dimensão desse problema também é observada no Brasil. Entre julho de 2024 e julho de 2025, a Kaspersky registrou aproximadamente </w:t>
      </w:r>
      <w:r>
        <w:rPr>
          <w:rStyle w:val="Strong"/>
          <w:rFonts w:ascii="Arial" w:hAnsi="Arial"/>
          <w:b w:val="false"/>
          <w:bCs w:val="false"/>
        </w:rPr>
        <w:t>553 milhões de tentativas de phishing no país</w:t>
      </w:r>
      <w:r>
        <w:rPr>
          <w:rFonts w:ascii="Arial" w:hAnsi="Arial"/>
          <w:b w:val="false"/>
          <w:bCs w:val="false"/>
        </w:rPr>
        <w:t xml:space="preserve">, enquanto pesquisa analisada pelo Banco Central apontou que </w:t>
      </w:r>
      <w:r>
        <w:rPr>
          <w:rStyle w:val="Strong"/>
          <w:rFonts w:ascii="Arial" w:hAnsi="Arial"/>
          <w:b w:val="false"/>
          <w:bCs w:val="false"/>
        </w:rPr>
        <w:t>10% dos entrevistados declararam ter sido vítimas de golpes eletrônicos</w:t>
      </w:r>
      <w:r>
        <w:rPr>
          <w:rFonts w:ascii="Arial" w:hAnsi="Arial"/>
          <w:b w:val="false"/>
          <w:bCs w:val="false"/>
        </w:rPr>
        <w:t>.</w:t>
      </w:r>
      <w:r>
        <w:rPr>
          <w:rFonts w:ascii="Arial" w:hAnsi="Arial"/>
        </w:rPr>
        <w:t xml:space="preserve"> Para pessoas físicas e pequenos empreendedores, uma tentativa bem-sucedida pode resultar no comprometimento de contas, roubo de credenciais, exposição de dados e prejuízos financeiros. Atualmente, esses usuários dependem principalmente dos mecanismos de proteção oferecidos pelo próprio provedor de e-mail e de sua capacidade de reconhecer sinais de fraude.</w:t>
      </w:r>
    </w:p>
    <w:p>
      <w:pPr>
        <w:pStyle w:val="BodyText"/>
        <w:spacing w:lineRule="auto" w:line="276" w:before="0" w:after="140"/>
        <w:jc w:val="both"/>
        <w:rPr>
          <w:rFonts w:ascii="Arial" w:hAnsi="Arial" w:eastAsia="Calibri" w:cs="Calibri"/>
          <w:color w:val="333333"/>
          <w:sz w:val="22"/>
          <w:szCs w:val="22"/>
        </w:rPr>
      </w:pPr>
      <w:r>
        <w:rPr>
          <w:rFonts w:eastAsia="Calibri" w:cs="Calibri" w:ascii="Arial" w:hAnsi="Arial"/>
          <w:color w:val="333333"/>
          <w:sz w:val="22"/>
          <w:szCs w:val="22"/>
        </w:rPr>
      </w:r>
    </w:p>
    <w:p>
      <w:pPr>
        <w:pStyle w:val="BodyText"/>
        <w:jc w:val="both"/>
        <w:rPr>
          <w:rFonts w:ascii="Arial" w:hAnsi="Arial"/>
        </w:rPr>
      </w:pPr>
      <w:r>
        <w:rPr>
          <w:rFonts w:ascii="Arial" w:hAnsi="Arial"/>
        </w:rPr>
      </w:r>
    </w:p>
    <w:p>
      <w:pPr>
        <w:pStyle w:val="Heading1"/>
        <w:pBdr>
          <w:bottom w:val="single" w:sz="8" w:space="6" w:color="FFDA1A"/>
        </w:pBdr>
        <w:spacing w:before="360" w:after="200"/>
        <w:rPr>
          <w:rFonts w:ascii="Arial" w:hAnsi="Arial"/>
        </w:rPr>
      </w:pPr>
      <w:r>
        <w:rPr>
          <w:rFonts w:eastAsia="Calibri" w:cs="Calibri" w:ascii="Arial" w:hAnsi="Arial"/>
          <w:b/>
          <w:bCs/>
          <w:color w:val="00695F"/>
          <w:sz w:val="32"/>
          <w:szCs w:val="32"/>
        </w:rPr>
        <w:t>3. Objeto e escopo</w:t>
      </w:r>
    </w:p>
    <w:p>
      <w:pPr>
        <w:pStyle w:val="Heading2"/>
        <w:spacing w:before="280" w:after="140"/>
        <w:rPr>
          <w:rFonts w:ascii="Arial" w:hAnsi="Arial"/>
        </w:rPr>
      </w:pPr>
      <w:r>
        <w:rPr>
          <w:rFonts w:eastAsia="Calibri" w:cs="Calibri" w:ascii="Arial" w:hAnsi="Arial"/>
          <w:b/>
          <w:bCs/>
          <w:color w:val="00A59A"/>
          <w:sz w:val="26"/>
          <w:szCs w:val="26"/>
        </w:rPr>
        <w:t>3.1 Objetivo</w:t>
      </w:r>
    </w:p>
    <w:p>
      <w:pPr>
        <w:pStyle w:val="Normal"/>
        <w:rPr/>
      </w:pPr>
      <w:r>
        <w:rPr/>
        <w:t>Desenvolver um aplicativo que sinalize prováveis tentativas de phishing recebidas por correio eletrônico.</w:t>
      </w:r>
    </w:p>
    <w:p>
      <w:pPr>
        <w:pStyle w:val="Heading2"/>
        <w:spacing w:before="280" w:after="140"/>
        <w:rPr>
          <w:rFonts w:ascii="Arial" w:hAnsi="Arial"/>
        </w:rPr>
      </w:pPr>
      <w:r>
        <w:rPr>
          <w:rFonts w:eastAsia="Calibri" w:cs="Calibri" w:ascii="Arial" w:hAnsi="Arial"/>
          <w:b/>
          <w:bCs/>
          <w:color w:val="00A59A"/>
          <w:sz w:val="26"/>
          <w:szCs w:val="26"/>
        </w:rPr>
        <w:t>3.2 Escopo incluído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10" w:type="dxa"/>
          <w:bottom w:w="80" w:type="dxa"/>
          <w:end w:w="110" w:type="dxa"/>
        </w:tblCellMar>
      </w:tblPr>
      <w:tblGrid>
        <w:gridCol w:w="700"/>
        <w:gridCol w:w="8660"/>
      </w:tblGrid>
      <w:tr>
        <w:trPr>
          <w:tblHeader w:val="true"/>
        </w:trPr>
        <w:tc>
          <w:tcPr>
            <w:tcW w:w="70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00A59A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FFFFFF"/>
                <w:sz w:val="20"/>
                <w:szCs w:val="20"/>
              </w:rPr>
              <w:t>Nº</w:t>
            </w:r>
          </w:p>
        </w:tc>
        <w:tc>
          <w:tcPr>
            <w:tcW w:w="866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00A59A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FFFFFF"/>
                <w:sz w:val="20"/>
                <w:szCs w:val="20"/>
              </w:rPr>
              <w:t>Funcionalidade prevista</w:t>
            </w:r>
          </w:p>
        </w:tc>
      </w:tr>
      <w:tr>
        <w:trPr/>
        <w:tc>
          <w:tcPr>
            <w:tcW w:w="70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333333"/>
                <w:sz w:val="20"/>
                <w:szCs w:val="20"/>
              </w:rPr>
              <w:t>1</w:t>
            </w:r>
          </w:p>
        </w:tc>
        <w:tc>
          <w:tcPr>
            <w:tcW w:w="866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jc w:val="both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 w:val="false"/>
                <w:bCs w:val="false"/>
                <w:color w:val="333333"/>
                <w:sz w:val="20"/>
                <w:szCs w:val="20"/>
              </w:rPr>
              <w:t>Rastrear e-mails recebidos c</w:t>
            </w:r>
            <w:r>
              <w:rPr>
                <w:rFonts w:ascii="Arial" w:hAnsi="Arial"/>
                <w:sz w:val="20"/>
                <w:szCs w:val="20"/>
                <w:lang w:val="pt-PT"/>
              </w:rPr>
              <w:t>om hiperlinks incorporados</w:t>
            </w:r>
          </w:p>
        </w:tc>
      </w:tr>
      <w:tr>
        <w:trPr/>
        <w:tc>
          <w:tcPr>
            <w:tcW w:w="70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333333"/>
                <w:sz w:val="20"/>
                <w:szCs w:val="20"/>
              </w:rPr>
              <w:t>2</w:t>
            </w:r>
          </w:p>
        </w:tc>
        <w:tc>
          <w:tcPr>
            <w:tcW w:w="866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both"/>
              <w:rPr/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Detectar e-mails suspeitos </w:t>
            </w:r>
          </w:p>
        </w:tc>
      </w:tr>
      <w:tr>
        <w:trPr/>
        <w:tc>
          <w:tcPr>
            <w:tcW w:w="70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333333"/>
                <w:sz w:val="20"/>
                <w:szCs w:val="20"/>
              </w:rPr>
              <w:t>3</w:t>
            </w:r>
          </w:p>
        </w:tc>
        <w:tc>
          <w:tcPr>
            <w:tcW w:w="866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both"/>
              <w:rPr/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>Marcar e-mails suspeitos</w:t>
            </w:r>
          </w:p>
        </w:tc>
      </w:tr>
      <w:tr>
        <w:trPr/>
        <w:tc>
          <w:tcPr>
            <w:tcW w:w="70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333333"/>
                <w:sz w:val="20"/>
                <w:szCs w:val="20"/>
              </w:rPr>
              <w:t>4</w:t>
            </w:r>
          </w:p>
        </w:tc>
        <w:tc>
          <w:tcPr>
            <w:tcW w:w="866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both"/>
              <w:rPr/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>Notificar o usuário sobre e-mails suspeitos</w:t>
            </w:r>
          </w:p>
        </w:tc>
      </w:tr>
      <w:tr>
        <w:trPr/>
        <w:tc>
          <w:tcPr>
            <w:tcW w:w="70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333333"/>
                <w:sz w:val="20"/>
                <w:szCs w:val="20"/>
              </w:rPr>
              <w:t>5</w:t>
            </w:r>
          </w:p>
        </w:tc>
        <w:tc>
          <w:tcPr>
            <w:tcW w:w="866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both"/>
              <w:rPr/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>Criar um relatório sobre os elementos suspeitos do e-mail</w:t>
            </w:r>
          </w:p>
        </w:tc>
      </w:tr>
    </w:tbl>
    <w:p>
      <w:pPr>
        <w:pStyle w:val="Normal"/>
        <w:spacing w:before="0" w:after="160"/>
        <w:rPr>
          <w:rFonts w:ascii="Arial" w:hAnsi="Arial"/>
        </w:rPr>
      </w:pPr>
      <w:r>
        <w:rPr>
          <w:rFonts w:ascii="Arial" w:hAnsi="Arial"/>
        </w:rPr>
      </w:r>
    </w:p>
    <w:p>
      <w:pPr>
        <w:pStyle w:val="Heading2"/>
        <w:spacing w:before="280" w:after="140"/>
        <w:rPr>
          <w:rFonts w:ascii="Arial" w:hAnsi="Arial"/>
        </w:rPr>
      </w:pPr>
      <w:r>
        <w:rPr>
          <w:rFonts w:eastAsia="Calibri" w:cs="Calibri" w:ascii="Arial" w:hAnsi="Arial"/>
          <w:b/>
          <w:bCs/>
          <w:color w:val="00A59A"/>
          <w:sz w:val="26"/>
          <w:szCs w:val="26"/>
        </w:rPr>
        <w:t>3.3 Escopo excluído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10" w:type="dxa"/>
          <w:bottom w:w="80" w:type="dxa"/>
          <w:end w:w="110" w:type="dxa"/>
        </w:tblCellMar>
      </w:tblPr>
      <w:tblGrid>
        <w:gridCol w:w="3393"/>
        <w:gridCol w:w="5967"/>
      </w:tblGrid>
      <w:tr>
        <w:trPr>
          <w:tblHeader w:val="true"/>
        </w:trPr>
        <w:tc>
          <w:tcPr>
            <w:tcW w:w="3393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00A59A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FFFFFF"/>
                <w:sz w:val="20"/>
                <w:szCs w:val="20"/>
              </w:rPr>
              <w:t>Item excluído</w:t>
            </w:r>
          </w:p>
        </w:tc>
        <w:tc>
          <w:tcPr>
            <w:tcW w:w="5967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00A59A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FFFFFF"/>
                <w:sz w:val="20"/>
                <w:szCs w:val="20"/>
              </w:rPr>
              <w:t>Razão da exclusão</w:t>
            </w:r>
          </w:p>
        </w:tc>
      </w:tr>
      <w:tr>
        <w:trPr/>
        <w:tc>
          <w:tcPr>
            <w:tcW w:w="3393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  <w:b/>
                <w:bCs/>
                <w:sz w:val="20"/>
                <w:szCs w:val="20"/>
              </w:rPr>
            </w:pPr>
            <w:r>
              <w:rPr>
                <w:rFonts w:eastAsia="Calibri" w:cs="Calibri" w:ascii="Arial" w:hAnsi="Arial"/>
                <w:b/>
                <w:bCs/>
                <w:color w:val="333333"/>
                <w:sz w:val="20"/>
                <w:szCs w:val="20"/>
              </w:rPr>
              <w:t>Interface Gráfica Elaborada</w:t>
            </w:r>
          </w:p>
        </w:tc>
        <w:tc>
          <w:tcPr>
            <w:tcW w:w="5967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both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 xml:space="preserve">O projeto tem como finalidade validar o funcionamento dos serviços mencionados acima, portanto, o desenvolvimento de uma interface elaborada não será contemplado, pois comprometeria o prazo disponível para a entrega. </w:t>
            </w:r>
          </w:p>
        </w:tc>
      </w:tr>
      <w:tr>
        <w:trPr/>
        <w:tc>
          <w:tcPr>
            <w:tcW w:w="3393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  <w:b/>
                <w:bCs/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sz w:val="20"/>
                <w:szCs w:val="20"/>
              </w:rPr>
              <w:t>Servidor Externo Dedicado</w:t>
            </w:r>
          </w:p>
        </w:tc>
        <w:tc>
          <w:tcPr>
            <w:tcW w:w="5967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both"/>
              <w:rPr>
                <w:rFonts w:ascii="Arial" w:hAnsi="Arial" w:eastAsia="Calibri" w:cs="Calibri"/>
                <w:b w:val="false"/>
                <w:bCs w:val="false"/>
                <w:color w:val="333333"/>
                <w:sz w:val="20"/>
                <w:szCs w:val="20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 utilização de um servidor externo dedicado para armazenamento e disponibilização dos modelos de referência não será contemplada, devido ao orçamento limitado disponível para o projeto. </w:t>
            </w:r>
          </w:p>
        </w:tc>
      </w:tr>
      <w:tr>
        <w:trPr/>
        <w:tc>
          <w:tcPr>
            <w:tcW w:w="3393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 w:eastAsia="Calibri" w:cs="Calibri"/>
                <w:b/>
                <w:bCs/>
                <w:color w:val="333333"/>
                <w:sz w:val="20"/>
                <w:szCs w:val="20"/>
              </w:rPr>
            </w:pPr>
            <w:r>
              <w:rPr>
                <w:rFonts w:eastAsia="Calibri" w:cs="Calibri" w:ascii="Arial" w:hAnsi="Arial"/>
                <w:b/>
                <w:bCs/>
                <w:color w:val="333333"/>
                <w:sz w:val="20"/>
                <w:szCs w:val="20"/>
              </w:rPr>
              <w:t>Integração com Provedores de Correio Eletrônico</w:t>
            </w:r>
          </w:p>
        </w:tc>
        <w:tc>
          <w:tcPr>
            <w:tcW w:w="5967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>A integração com provedores de correio eletrônico, como Gmail e Outlook, não será contemplada, pois a obtenção da cooperação dessas entidades está fora do alcance da equipe executora. Para fins de desenvolvimento, o sistema utilizará uma amostra de padrões manufaturados para avaliação</w:t>
            </w:r>
          </w:p>
        </w:tc>
      </w:tr>
    </w:tbl>
    <w:p>
      <w:pPr>
        <w:pStyle w:val="Normal"/>
        <w:spacing w:before="0" w:after="160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Heading1"/>
        <w:pBdr>
          <w:bottom w:val="single" w:sz="8" w:space="6" w:color="FFDA1A"/>
        </w:pBdr>
        <w:spacing w:before="0" w:after="200"/>
        <w:rPr>
          <w:rFonts w:ascii="Arial" w:hAnsi="Arial"/>
        </w:rPr>
      </w:pPr>
      <w:r>
        <w:rPr>
          <w:rFonts w:eastAsia="Calibri" w:cs="Calibri" w:ascii="Arial" w:hAnsi="Arial"/>
          <w:b/>
          <w:bCs/>
          <w:color w:val="00695F"/>
          <w:sz w:val="32"/>
          <w:szCs w:val="32"/>
        </w:rPr>
        <w:t>4. Produtos entregáveis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10" w:type="dxa"/>
          <w:bottom w:w="80" w:type="dxa"/>
          <w:end w:w="110" w:type="dxa"/>
        </w:tblCellMar>
      </w:tblPr>
      <w:tblGrid>
        <w:gridCol w:w="2895"/>
        <w:gridCol w:w="4665"/>
        <w:gridCol w:w="1800"/>
      </w:tblGrid>
      <w:tr>
        <w:trPr>
          <w:tblHeader w:val="true"/>
        </w:trPr>
        <w:tc>
          <w:tcPr>
            <w:tcW w:w="2895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00A59A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FFFFFF"/>
                <w:sz w:val="20"/>
                <w:szCs w:val="20"/>
              </w:rPr>
              <w:t>Produto</w:t>
            </w:r>
          </w:p>
        </w:tc>
        <w:tc>
          <w:tcPr>
            <w:tcW w:w="4665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00A59A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180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00A59A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FFFFFF"/>
                <w:sz w:val="20"/>
                <w:szCs w:val="20"/>
              </w:rPr>
              <w:t>Prazo</w:t>
            </w:r>
          </w:p>
        </w:tc>
      </w:tr>
      <w:tr>
        <w:trPr/>
        <w:tc>
          <w:tcPr>
            <w:tcW w:w="2895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333333"/>
                <w:sz w:val="20"/>
                <w:szCs w:val="20"/>
              </w:rPr>
              <w:t>Aplicativo executável</w:t>
            </w:r>
          </w:p>
        </w:tc>
        <w:tc>
          <w:tcPr>
            <w:tcW w:w="4665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>Build executável do aplicativo contendo uma base de dados com padrões de teste incorporada</w:t>
            </w:r>
          </w:p>
        </w:tc>
        <w:tc>
          <w:tcPr>
            <w:tcW w:w="180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>Aula 14</w:t>
            </w:r>
          </w:p>
        </w:tc>
      </w:tr>
      <w:tr>
        <w:trPr/>
        <w:tc>
          <w:tcPr>
            <w:tcW w:w="2895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333333"/>
                <w:sz w:val="20"/>
                <w:szCs w:val="20"/>
              </w:rPr>
              <w:t>Código-fonte</w:t>
            </w:r>
          </w:p>
        </w:tc>
        <w:tc>
          <w:tcPr>
            <w:tcW w:w="4665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>Repositório com controle de versão e histórico preservado</w:t>
            </w:r>
          </w:p>
        </w:tc>
        <w:tc>
          <w:tcPr>
            <w:tcW w:w="180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>Aula 14</w:t>
            </w:r>
          </w:p>
        </w:tc>
      </w:tr>
      <w:tr>
        <w:trPr/>
        <w:tc>
          <w:tcPr>
            <w:tcW w:w="2895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333333"/>
                <w:sz w:val="20"/>
                <w:szCs w:val="20"/>
              </w:rPr>
              <w:t>Especificação de requisitos</w:t>
            </w:r>
          </w:p>
        </w:tc>
        <w:tc>
          <w:tcPr>
            <w:tcW w:w="4665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>Documento com requisitos funcionais, não funcionais e matriz de rastreabilidade</w:t>
            </w:r>
          </w:p>
        </w:tc>
        <w:tc>
          <w:tcPr>
            <w:tcW w:w="180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>Aula 4</w:t>
            </w:r>
          </w:p>
        </w:tc>
      </w:tr>
      <w:tr>
        <w:trPr/>
        <w:tc>
          <w:tcPr>
            <w:tcW w:w="2895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333333"/>
                <w:sz w:val="20"/>
                <w:szCs w:val="20"/>
              </w:rPr>
              <w:t>Documento de arquitetura</w:t>
            </w:r>
          </w:p>
        </w:tc>
        <w:tc>
          <w:tcPr>
            <w:tcW w:w="4665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>Camadas, modelo de domínio, estruturas de dados e contratos</w:t>
            </w:r>
          </w:p>
        </w:tc>
        <w:tc>
          <w:tcPr>
            <w:tcW w:w="180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>Aula 9</w:t>
            </w:r>
          </w:p>
        </w:tc>
      </w:tr>
      <w:tr>
        <w:trPr/>
        <w:tc>
          <w:tcPr>
            <w:tcW w:w="2895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333333"/>
                <w:sz w:val="20"/>
                <w:szCs w:val="20"/>
              </w:rPr>
              <w:t>Plano e resultados de testes</w:t>
            </w:r>
          </w:p>
        </w:tc>
        <w:tc>
          <w:tcPr>
            <w:tcW w:w="4665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>Casos de teste, execuções e registro de defeitos</w:t>
            </w:r>
          </w:p>
        </w:tc>
        <w:tc>
          <w:tcPr>
            <w:tcW w:w="180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>Aula 14</w:t>
            </w:r>
          </w:p>
        </w:tc>
      </w:tr>
      <w:tr>
        <w:trPr/>
        <w:tc>
          <w:tcPr>
            <w:tcW w:w="2895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333333"/>
                <w:sz w:val="20"/>
                <w:szCs w:val="20"/>
              </w:rPr>
              <w:t>Manual de instalação e uso</w:t>
            </w:r>
          </w:p>
        </w:tc>
        <w:tc>
          <w:tcPr>
            <w:tcW w:w="4665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>Requisitos de ambiente e instruções de operação</w:t>
            </w:r>
          </w:p>
        </w:tc>
        <w:tc>
          <w:tcPr>
            <w:tcW w:w="180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>Aula 14</w:t>
            </w:r>
          </w:p>
        </w:tc>
      </w:tr>
    </w:tbl>
    <w:p>
      <w:pPr>
        <w:pStyle w:val="Normal"/>
        <w:spacing w:before="0" w:after="160"/>
        <w:rPr>
          <w:rFonts w:ascii="Arial" w:hAnsi="Arial"/>
        </w:rPr>
      </w:pPr>
      <w:r>
        <w:rPr>
          <w:rFonts w:ascii="Arial" w:hAnsi="Arial"/>
        </w:rPr>
      </w:r>
    </w:p>
    <w:p>
      <w:pPr>
        <w:pStyle w:val="Heading1"/>
        <w:pBdr>
          <w:bottom w:val="single" w:sz="8" w:space="6" w:color="FFDA1A"/>
        </w:pBdr>
        <w:spacing w:before="360" w:after="200"/>
        <w:rPr>
          <w:rFonts w:ascii="Arial" w:hAnsi="Arial"/>
        </w:rPr>
      </w:pPr>
      <w:r>
        <w:rPr>
          <w:rFonts w:eastAsia="Calibri" w:cs="Calibri" w:ascii="Arial" w:hAnsi="Arial"/>
          <w:b/>
          <w:bCs/>
          <w:color w:val="00695F"/>
          <w:sz w:val="32"/>
          <w:szCs w:val="32"/>
        </w:rPr>
        <w:t>5. Critérios de aceitação</w:t>
      </w:r>
    </w:p>
    <w:p>
      <w:pPr>
        <w:pStyle w:val="Normal"/>
        <w:spacing w:lineRule="auto" w:line="276" w:before="0" w:after="140"/>
        <w:jc w:val="both"/>
        <w:rPr>
          <w:rFonts w:ascii="Arial" w:hAnsi="Arial"/>
        </w:rPr>
      </w:pPr>
      <w:r>
        <w:rPr>
          <w:rFonts w:eastAsia="Calibri" w:cs="Calibri" w:ascii="Arial" w:hAnsi="Arial"/>
          <w:color w:val="333333"/>
          <w:sz w:val="22"/>
          <w:szCs w:val="22"/>
        </w:rPr>
        <w:t>Cada produto será considerado aceito quando atender integralmente às condições abaixo, verificáveis por demonstração ou por inspeção documental.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10" w:type="dxa"/>
          <w:bottom w:w="80" w:type="dxa"/>
          <w:end w:w="110" w:type="dxa"/>
        </w:tblCellMar>
      </w:tblPr>
      <w:tblGrid>
        <w:gridCol w:w="900"/>
        <w:gridCol w:w="5158"/>
        <w:gridCol w:w="3302"/>
      </w:tblGrid>
      <w:tr>
        <w:trPr>
          <w:tblHeader w:val="true"/>
        </w:trPr>
        <w:tc>
          <w:tcPr>
            <w:tcW w:w="90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00A59A" w:val="clear"/>
          </w:tcPr>
          <w:p>
            <w:pPr>
              <w:pStyle w:val="Normal"/>
              <w:spacing w:lineRule="auto" w:line="250" w:before="0" w:after="0"/>
              <w:jc w:val="both"/>
              <w:rPr/>
            </w:pPr>
            <w:r>
              <w:rPr>
                <w:rFonts w:eastAsia="Calibri" w:cs="Calibri" w:ascii="Arial" w:hAnsi="Arial"/>
                <w:b/>
                <w:bCs/>
                <w:color w:val="FFFFFF"/>
                <w:sz w:val="20"/>
                <w:szCs w:val="20"/>
              </w:rPr>
              <w:t>Nº</w:t>
            </w:r>
          </w:p>
        </w:tc>
        <w:tc>
          <w:tcPr>
            <w:tcW w:w="5158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00A59A" w:val="clear"/>
          </w:tcPr>
          <w:p>
            <w:pPr>
              <w:pStyle w:val="Normal"/>
              <w:spacing w:lineRule="auto" w:line="250" w:before="0" w:after="0"/>
              <w:jc w:val="both"/>
              <w:rPr/>
            </w:pPr>
            <w:r>
              <w:rPr>
                <w:rFonts w:eastAsia="Calibri" w:cs="Calibri" w:ascii="Arial" w:hAnsi="Arial"/>
                <w:b/>
                <w:bCs/>
                <w:color w:val="FFFFFF"/>
                <w:sz w:val="20"/>
                <w:szCs w:val="20"/>
              </w:rPr>
              <w:t>Critério de aceitação</w:t>
            </w:r>
          </w:p>
        </w:tc>
        <w:tc>
          <w:tcPr>
            <w:tcW w:w="3302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00A59A" w:val="clear"/>
          </w:tcPr>
          <w:p>
            <w:pPr>
              <w:pStyle w:val="Normal"/>
              <w:spacing w:lineRule="auto" w:line="250" w:before="0" w:after="0"/>
              <w:jc w:val="both"/>
              <w:rPr/>
            </w:pPr>
            <w:r>
              <w:rPr>
                <w:rFonts w:eastAsia="Calibri" w:cs="Calibri" w:ascii="Arial" w:hAnsi="Arial"/>
                <w:b/>
                <w:bCs/>
                <w:color w:val="FFFFFF"/>
                <w:sz w:val="20"/>
                <w:szCs w:val="20"/>
              </w:rPr>
              <w:t>Forma de verificação</w:t>
            </w:r>
          </w:p>
        </w:tc>
      </w:tr>
      <w:tr>
        <w:trPr/>
        <w:tc>
          <w:tcPr>
            <w:tcW w:w="90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both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333333"/>
                <w:sz w:val="20"/>
                <w:szCs w:val="20"/>
              </w:rPr>
              <w:t>CA-01</w:t>
            </w:r>
          </w:p>
        </w:tc>
        <w:tc>
          <w:tcPr>
            <w:tcW w:w="5158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both"/>
              <w:rPr>
                <w:rFonts w:ascii="Arial" w:hAnsi="Arial" w:eastAsia="Calibri" w:cs="Calibri"/>
                <w:b w:val="false"/>
                <w:bCs w:val="false"/>
                <w:color w:val="333333"/>
                <w:sz w:val="20"/>
                <w:szCs w:val="20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 aplicativo deve identificar mensagens que contenham hiperlinks. </w:t>
            </w:r>
          </w:p>
        </w:tc>
        <w:tc>
          <w:tcPr>
            <w:tcW w:w="3302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both"/>
              <w:rPr>
                <w:rFonts w:ascii="Arial" w:hAnsi="Arial" w:eastAsia="Calibri" w:cs="Calibri"/>
                <w:b w:val="false"/>
                <w:bCs w:val="false"/>
                <w:color w:val="333333"/>
                <w:sz w:val="20"/>
                <w:szCs w:val="20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Execução com amostra contendo hiperlinks. </w:t>
            </w:r>
          </w:p>
        </w:tc>
      </w:tr>
      <w:tr>
        <w:trPr/>
        <w:tc>
          <w:tcPr>
            <w:tcW w:w="90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both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333333"/>
                <w:sz w:val="20"/>
                <w:szCs w:val="20"/>
              </w:rPr>
              <w:t>CA-02</w:t>
            </w:r>
          </w:p>
        </w:tc>
        <w:tc>
          <w:tcPr>
            <w:tcW w:w="5158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both"/>
              <w:rPr>
                <w:rFonts w:ascii="Arial" w:hAnsi="Arial" w:eastAsia="Calibri" w:cs="Calibri"/>
                <w:b w:val="false"/>
                <w:bCs w:val="false"/>
                <w:color w:val="333333"/>
                <w:sz w:val="20"/>
                <w:szCs w:val="20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 aplicativo deve sinalizar mensagens identificadas como suspeitas. </w:t>
            </w:r>
          </w:p>
        </w:tc>
        <w:tc>
          <w:tcPr>
            <w:tcW w:w="3302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both"/>
              <w:rPr>
                <w:rFonts w:ascii="Arial" w:hAnsi="Arial" w:eastAsia="Calibri" w:cs="Calibri"/>
                <w:b w:val="false"/>
                <w:bCs w:val="false"/>
                <w:color w:val="333333"/>
                <w:sz w:val="20"/>
                <w:szCs w:val="20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Execução com mensagens previamente classificadas. </w:t>
            </w:r>
          </w:p>
        </w:tc>
      </w:tr>
      <w:tr>
        <w:trPr/>
        <w:tc>
          <w:tcPr>
            <w:tcW w:w="90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both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333333"/>
                <w:sz w:val="20"/>
                <w:szCs w:val="20"/>
              </w:rPr>
              <w:t>CA-03</w:t>
            </w:r>
          </w:p>
        </w:tc>
        <w:tc>
          <w:tcPr>
            <w:tcW w:w="5158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both"/>
              <w:rPr>
                <w:rFonts w:ascii="Arial" w:hAnsi="Arial" w:eastAsia="Calibri" w:cs="Calibri"/>
                <w:b w:val="false"/>
                <w:bCs w:val="false"/>
                <w:color w:val="333333"/>
                <w:sz w:val="20"/>
                <w:szCs w:val="20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 aplicativo deve notificar o usuário sobre mensagens suspeitas. </w:t>
            </w:r>
          </w:p>
        </w:tc>
        <w:tc>
          <w:tcPr>
            <w:tcW w:w="3302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both"/>
              <w:rPr>
                <w:rFonts w:ascii="Arial" w:hAnsi="Arial" w:eastAsia="Calibri" w:cs="Calibri"/>
                <w:b w:val="false"/>
                <w:bCs w:val="false"/>
                <w:color w:val="333333"/>
                <w:sz w:val="20"/>
                <w:szCs w:val="20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Execução e observação da notificação. </w:t>
            </w:r>
          </w:p>
        </w:tc>
      </w:tr>
      <w:tr>
        <w:trPr/>
        <w:tc>
          <w:tcPr>
            <w:tcW w:w="90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both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333333"/>
                <w:sz w:val="20"/>
                <w:szCs w:val="20"/>
              </w:rPr>
              <w:t>CA-04</w:t>
            </w:r>
          </w:p>
        </w:tc>
        <w:tc>
          <w:tcPr>
            <w:tcW w:w="5158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both"/>
              <w:rPr>
                <w:rFonts w:ascii="Arial" w:hAnsi="Arial" w:eastAsia="Calibri" w:cs="Calibri"/>
                <w:b w:val="false"/>
                <w:bCs w:val="false"/>
                <w:color w:val="333333"/>
                <w:sz w:val="20"/>
                <w:szCs w:val="20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 aplicativo deve apresentar os elementos suspeitos identificados na mensagem. </w:t>
            </w:r>
          </w:p>
        </w:tc>
        <w:tc>
          <w:tcPr>
            <w:tcW w:w="3302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both"/>
              <w:rPr>
                <w:rFonts w:ascii="Arial" w:hAnsi="Arial" w:eastAsia="Calibri" w:cs="Calibri"/>
                <w:b w:val="false"/>
                <w:bCs w:val="false"/>
                <w:color w:val="333333"/>
                <w:sz w:val="20"/>
                <w:szCs w:val="20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Execução e inspeção do relatório gerado. </w:t>
            </w:r>
          </w:p>
        </w:tc>
      </w:tr>
      <w:tr>
        <w:trPr/>
        <w:tc>
          <w:tcPr>
            <w:tcW w:w="90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both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333333"/>
                <w:sz w:val="20"/>
                <w:szCs w:val="20"/>
              </w:rPr>
              <w:t>CA-05</w:t>
            </w:r>
          </w:p>
        </w:tc>
        <w:tc>
          <w:tcPr>
            <w:tcW w:w="5158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both"/>
              <w:rPr>
                <w:rFonts w:ascii="Arial" w:hAnsi="Arial" w:eastAsia="Calibri" w:cs="Calibri"/>
                <w:b w:val="false"/>
                <w:bCs w:val="false"/>
                <w:color w:val="333333"/>
                <w:sz w:val="20"/>
                <w:szCs w:val="20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>O aplicativo deve ignorar mensagens sem hiperlinks</w:t>
            </w:r>
          </w:p>
        </w:tc>
        <w:tc>
          <w:tcPr>
            <w:tcW w:w="3302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both"/>
              <w:rPr>
                <w:rFonts w:ascii="Arial" w:hAnsi="Arial" w:eastAsia="Calibri" w:cs="Calibri"/>
                <w:b w:val="false"/>
                <w:bCs w:val="false"/>
                <w:color w:val="333333"/>
                <w:sz w:val="20"/>
                <w:szCs w:val="20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Execução com mensagens legítimas da amostra. </w:t>
            </w:r>
          </w:p>
        </w:tc>
      </w:tr>
      <w:tr>
        <w:trPr/>
        <w:tc>
          <w:tcPr>
            <w:tcW w:w="900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both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5158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both"/>
              <w:rPr>
                <w:rFonts w:ascii="Arial" w:hAnsi="Arial" w:eastAsia="Calibri" w:cs="Calibri"/>
                <w:b w:val="false"/>
                <w:bCs w:val="false"/>
                <w:color w:val="333333"/>
                <w:sz w:val="20"/>
                <w:szCs w:val="20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</w:r>
          </w:p>
        </w:tc>
        <w:tc>
          <w:tcPr>
            <w:tcW w:w="3302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both"/>
              <w:rPr>
                <w:rFonts w:ascii="Arial" w:hAnsi="Arial" w:eastAsia="Calibri" w:cs="Calibri"/>
                <w:b w:val="false"/>
                <w:bCs w:val="false"/>
                <w:color w:val="333333"/>
                <w:sz w:val="20"/>
                <w:szCs w:val="20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</w:r>
          </w:p>
        </w:tc>
      </w:tr>
      <w:tr>
        <w:trPr/>
        <w:tc>
          <w:tcPr>
            <w:tcW w:w="900" w:type="dxa"/>
            <w:tcBorders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both"/>
              <w:rPr>
                <w:rFonts w:ascii="Arial" w:hAnsi="Arial"/>
                <w:b/>
                <w:bCs/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sz w:val="20"/>
                <w:szCs w:val="20"/>
              </w:rPr>
              <w:t xml:space="preserve">CA-07 </w:t>
            </w:r>
          </w:p>
        </w:tc>
        <w:tc>
          <w:tcPr>
            <w:tcW w:w="5158" w:type="dxa"/>
            <w:tcBorders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both"/>
              <w:rPr>
                <w:rFonts w:ascii="Arial" w:hAnsi="Arial" w:eastAsia="Calibri" w:cs="Calibri"/>
                <w:b w:val="false"/>
                <w:bCs w:val="false"/>
                <w:color w:val="333333"/>
                <w:sz w:val="20"/>
                <w:szCs w:val="20"/>
              </w:rPr>
            </w:pPr>
            <w:r>
              <w:rPr>
                <w:rStyle w:val="Strong"/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 aplicativo deve analisar cada mensagem em até 10 segundos após seu recebimento. </w:t>
            </w: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w="3302" w:type="dxa"/>
            <w:tcBorders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both"/>
              <w:rPr>
                <w:rFonts w:ascii="Arial" w:hAnsi="Arial" w:eastAsia="Calibri" w:cs="Calibri"/>
                <w:b w:val="false"/>
                <w:bCs w:val="false"/>
                <w:color w:val="333333"/>
                <w:sz w:val="20"/>
                <w:szCs w:val="20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Execução com medição do tempo de processamento. </w:t>
            </w:r>
          </w:p>
        </w:tc>
      </w:tr>
      <w:tr>
        <w:trPr/>
        <w:tc>
          <w:tcPr>
            <w:tcW w:w="900" w:type="dxa"/>
            <w:tcBorders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both"/>
              <w:rPr>
                <w:rFonts w:ascii="Arial" w:hAnsi="Arial"/>
                <w:b/>
                <w:bCs/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sz w:val="20"/>
                <w:szCs w:val="20"/>
              </w:rPr>
              <w:t xml:space="preserve">CA-08 </w:t>
            </w:r>
          </w:p>
        </w:tc>
        <w:tc>
          <w:tcPr>
            <w:tcW w:w="5158" w:type="dxa"/>
            <w:tcBorders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both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O aplicativo deve ser instalado por terceiro seguindo exclusivamente o manual de instalação e uso.</w:t>
            </w:r>
          </w:p>
        </w:tc>
        <w:tc>
          <w:tcPr>
            <w:tcW w:w="3302" w:type="dxa"/>
            <w:tcBorders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F2F4F4" w:val="clear"/>
          </w:tcPr>
          <w:p>
            <w:pPr>
              <w:pStyle w:val="Normal"/>
              <w:spacing w:lineRule="auto" w:line="250" w:before="0" w:after="0"/>
              <w:jc w:val="both"/>
              <w:rPr>
                <w:rFonts w:ascii="Arial" w:hAnsi="Arial" w:eastAsia="Calibri" w:cs="Calibri"/>
                <w:b w:val="false"/>
                <w:bCs w:val="false"/>
                <w:color w:val="333333"/>
                <w:sz w:val="20"/>
                <w:szCs w:val="20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Instalação realizada por um individuo que não participou do desenvolvimento. </w:t>
            </w:r>
          </w:p>
        </w:tc>
      </w:tr>
    </w:tbl>
    <w:p>
      <w:pPr>
        <w:pStyle w:val="Normal"/>
        <w:spacing w:before="0" w:after="16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Heading1"/>
        <w:pBdr>
          <w:bottom w:val="single" w:sz="8" w:space="6" w:color="FFDA1A"/>
        </w:pBdr>
        <w:spacing w:before="0" w:after="200"/>
        <w:rPr>
          <w:rFonts w:ascii="Arial" w:hAnsi="Arial"/>
        </w:rPr>
      </w:pPr>
      <w:r>
        <w:rPr>
          <w:rFonts w:eastAsia="Calibri" w:cs="Calibri" w:ascii="Arial" w:hAnsi="Arial"/>
          <w:b/>
          <w:bCs/>
          <w:color w:val="00695F"/>
          <w:sz w:val="32"/>
          <w:szCs w:val="32"/>
        </w:rPr>
        <w:t>6. Restrições e premissas</w:t>
      </w:r>
    </w:p>
    <w:p>
      <w:pPr>
        <w:pStyle w:val="Heading2"/>
        <w:spacing w:before="280" w:after="140"/>
        <w:rPr>
          <w:rFonts w:ascii="Arial" w:hAnsi="Arial"/>
        </w:rPr>
      </w:pPr>
      <w:r>
        <w:rPr>
          <w:rFonts w:eastAsia="Calibri" w:cs="Calibri" w:ascii="Arial" w:hAnsi="Arial"/>
          <w:b/>
          <w:bCs/>
          <w:color w:val="00A59A"/>
          <w:sz w:val="26"/>
          <w:szCs w:val="26"/>
        </w:rPr>
        <w:t>6.1 Restrições — limitações impostas, sobre as quais não se tem controle</w:t>
      </w:r>
    </w:p>
    <w:p>
      <w:pPr>
        <w:pStyle w:val="BodyText"/>
        <w:numPr>
          <w:ilvl w:val="0"/>
          <w:numId w:val="1"/>
        </w:numPr>
        <w:spacing w:lineRule="auto" w:line="264" w:before="0" w:after="80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O projeto será desenvolvido com recursos computacionais disponíveis a equipe executora.</w:t>
      </w:r>
    </w:p>
    <w:p>
      <w:pPr>
        <w:pStyle w:val="BodyText"/>
        <w:numPr>
          <w:ilvl w:val="0"/>
          <w:numId w:val="1"/>
        </w:numPr>
        <w:spacing w:lineRule="auto" w:line="264" w:before="0" w:after="80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 xml:space="preserve">O projeto não dispõe de orçamento para contratação de infraestrutura externa. </w:t>
      </w:r>
    </w:p>
    <w:p>
      <w:pPr>
        <w:pStyle w:val="ListParagraph"/>
        <w:numPr>
          <w:ilvl w:val="0"/>
          <w:numId w:val="1"/>
        </w:numPr>
        <w:spacing w:lineRule="auto" w:line="264" w:before="0" w:after="80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 xml:space="preserve">O projeto deverá ser concluído dentro do prazo estabelecido pela disciplina. </w:t>
      </w:r>
    </w:p>
    <w:p>
      <w:pPr>
        <w:pStyle w:val="Heading2"/>
        <w:spacing w:before="280" w:after="140"/>
        <w:rPr>
          <w:rFonts w:ascii="Arial" w:hAnsi="Arial"/>
        </w:rPr>
      </w:pPr>
      <w:r>
        <w:rPr>
          <w:rFonts w:eastAsia="Calibri" w:cs="Calibri" w:ascii="Arial" w:hAnsi="Arial"/>
          <w:b/>
          <w:bCs/>
          <w:color w:val="00A59A"/>
          <w:sz w:val="26"/>
          <w:szCs w:val="26"/>
        </w:rPr>
        <w:t>6.2 Premissas — suposições adotadas que, se falharem, alteram o projeto</w:t>
      </w:r>
    </w:p>
    <w:p>
      <w:pPr>
        <w:pStyle w:val="ListParagraph"/>
        <w:numPr>
          <w:ilvl w:val="0"/>
          <w:numId w:val="1"/>
        </w:numPr>
        <w:spacing w:lineRule="auto" w:line="264" w:before="0" w:after="80"/>
        <w:rPr>
          <w:rFonts w:ascii="Arial" w:hAnsi="Arial"/>
          <w:sz w:val="20"/>
          <w:szCs w:val="20"/>
        </w:rPr>
      </w:pPr>
      <w:r>
        <w:rPr>
          <w:rFonts w:eastAsia="Calibri" w:cs="Calibri" w:ascii="Arial" w:hAnsi="Arial"/>
          <w:color w:val="333333"/>
          <w:sz w:val="22"/>
          <w:szCs w:val="22"/>
        </w:rPr>
        <w:t xml:space="preserve">A validação será realizada utilizando uma amostra de padrões previamente elaborada. </w:t>
      </w:r>
    </w:p>
    <w:p>
      <w:pPr>
        <w:pStyle w:val="ListParagraph"/>
        <w:numPr>
          <w:ilvl w:val="0"/>
          <w:numId w:val="1"/>
        </w:numPr>
        <w:spacing w:lineRule="auto" w:line="264" w:before="0" w:after="80"/>
        <w:rPr>
          <w:rFonts w:ascii="Arial" w:hAnsi="Arial"/>
        </w:rPr>
      </w:pPr>
      <w:r>
        <w:rPr>
          <w:rFonts w:eastAsia="Calibri" w:cs="Calibri" w:ascii="Arial" w:hAnsi="Arial"/>
          <w:color w:val="333333"/>
          <w:sz w:val="22"/>
          <w:szCs w:val="22"/>
        </w:rPr>
        <w:t xml:space="preserve">O acesso ao correio eletrônico utilizado nos testes permanecerá disponível durante o desenvolvimento. </w:t>
      </w:r>
    </w:p>
    <w:p>
      <w:pPr>
        <w:pStyle w:val="Normal"/>
        <w:spacing w:before="0" w:after="160"/>
        <w:rPr>
          <w:rFonts w:ascii="Arial" w:hAnsi="Arial"/>
        </w:rPr>
      </w:pPr>
      <w:r>
        <w:rPr>
          <w:rFonts w:ascii="Arial" w:hAnsi="Arial"/>
        </w:rPr>
      </w:r>
    </w:p>
    <w:p>
      <w:pPr>
        <w:pStyle w:val="Heading1"/>
        <w:pBdr>
          <w:bottom w:val="single" w:sz="8" w:space="6" w:color="FFDA1A"/>
        </w:pBdr>
        <w:spacing w:before="360" w:after="200"/>
        <w:rPr>
          <w:rFonts w:ascii="Arial" w:hAnsi="Arial"/>
        </w:rPr>
      </w:pPr>
      <w:r>
        <w:rPr>
          <w:rFonts w:eastAsia="Calibri" w:cs="Calibri" w:ascii="Arial" w:hAnsi="Arial"/>
          <w:b/>
          <w:bCs/>
          <w:color w:val="00695F"/>
          <w:sz w:val="32"/>
          <w:szCs w:val="32"/>
        </w:rPr>
        <w:t>7. Controle de alterações</w:t>
      </w:r>
    </w:p>
    <w:p>
      <w:pPr>
        <w:pStyle w:val="Normal"/>
        <w:spacing w:lineRule="auto" w:line="276" w:before="0" w:after="140"/>
        <w:jc w:val="both"/>
        <w:rPr>
          <w:rFonts w:ascii="Arial" w:hAnsi="Arial"/>
        </w:rPr>
      </w:pPr>
      <w:r>
        <w:rPr>
          <w:rFonts w:eastAsia="Calibri" w:cs="Calibri" w:ascii="Arial" w:hAnsi="Arial"/>
          <w:color w:val="333333"/>
          <w:sz w:val="22"/>
          <w:szCs w:val="22"/>
        </w:rPr>
        <w:t>Toda alteração posterior ao aceite desta versão será registrada abaixo, com identificação do item alterado, da razão e do impacto em prazo e esforço. Alterações não registradas não serão consideradas na avaliação da entrega final.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10" w:type="dxa"/>
          <w:bottom w:w="80" w:type="dxa"/>
          <w:end w:w="110" w:type="dxa"/>
        </w:tblCellMar>
      </w:tblPr>
      <w:tblGrid>
        <w:gridCol w:w="1096"/>
        <w:gridCol w:w="1504"/>
        <w:gridCol w:w="2694"/>
        <w:gridCol w:w="4066"/>
      </w:tblGrid>
      <w:tr>
        <w:trPr>
          <w:tblHeader w:val="true"/>
        </w:trPr>
        <w:tc>
          <w:tcPr>
            <w:tcW w:w="1096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00A59A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FFFFFF"/>
                <w:sz w:val="20"/>
                <w:szCs w:val="20"/>
              </w:rPr>
              <w:t>Versão</w:t>
            </w:r>
          </w:p>
        </w:tc>
        <w:tc>
          <w:tcPr>
            <w:tcW w:w="1504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00A59A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2694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00A59A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FFFFFF"/>
                <w:sz w:val="20"/>
                <w:szCs w:val="20"/>
              </w:rPr>
              <w:t>Item alterado</w:t>
            </w:r>
          </w:p>
        </w:tc>
        <w:tc>
          <w:tcPr>
            <w:tcW w:w="4066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  <w:shd w:color="auto" w:fill="00A59A" w:val="clear"/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FFFFFF"/>
                <w:sz w:val="20"/>
                <w:szCs w:val="20"/>
              </w:rPr>
              <w:t>Razão e impacto</w:t>
            </w:r>
          </w:p>
        </w:tc>
      </w:tr>
      <w:tr>
        <w:trPr/>
        <w:tc>
          <w:tcPr>
            <w:tcW w:w="1096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/>
                <w:bCs/>
                <w:color w:val="333333"/>
                <w:sz w:val="20"/>
                <w:szCs w:val="20"/>
              </w:rPr>
              <w:t>1.0</w:t>
            </w:r>
          </w:p>
        </w:tc>
        <w:tc>
          <w:tcPr>
            <w:tcW w:w="1504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01/09/2026 </w:t>
            </w:r>
          </w:p>
        </w:tc>
        <w:tc>
          <w:tcPr>
            <w:tcW w:w="2694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>Emissão inicial</w:t>
            </w:r>
          </w:p>
        </w:tc>
        <w:tc>
          <w:tcPr>
            <w:tcW w:w="4066" w:type="dxa"/>
            <w:tcBorders>
              <w:top w:val="single" w:sz="4" w:space="0" w:color="C9D6D4"/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</w:rPr>
            </w:pPr>
            <w:r>
              <w:rPr>
                <w:rFonts w:eastAsia="Calibri" w:cs="Calibri" w:ascii="Arial" w:hAnsi="Arial"/>
                <w:b w:val="false"/>
                <w:bCs w:val="false"/>
                <w:color w:val="333333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1096" w:type="dxa"/>
            <w:tcBorders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  <w:b/>
                <w:bCs/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sz w:val="20"/>
                <w:szCs w:val="20"/>
              </w:rPr>
              <w:t>1.1</w:t>
            </w:r>
          </w:p>
        </w:tc>
        <w:tc>
          <w:tcPr>
            <w:tcW w:w="1504" w:type="dxa"/>
            <w:tcBorders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25/09/2026</w:t>
            </w:r>
          </w:p>
        </w:tc>
        <w:tc>
          <w:tcPr>
            <w:tcW w:w="2694" w:type="dxa"/>
            <w:tcBorders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Resquícios do modelo padrão e CA-06</w:t>
            </w:r>
          </w:p>
        </w:tc>
        <w:tc>
          <w:tcPr>
            <w:tcW w:w="4066" w:type="dxa"/>
            <w:tcBorders>
              <w:start w:val="single" w:sz="4" w:space="0" w:color="C9D6D4"/>
              <w:bottom w:val="single" w:sz="4" w:space="0" w:color="C9D6D4"/>
              <w:end w:val="single" w:sz="4" w:space="0" w:color="C9D6D4"/>
            </w:tcBorders>
          </w:tcPr>
          <w:p>
            <w:pPr>
              <w:pStyle w:val="Normal"/>
              <w:spacing w:lineRule="auto" w:line="250" w:before="0" w:after="0"/>
              <w:jc w:val="star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Formatação, simplificação e adesão com expectativas, CA-06 estava detalhando um termo técnico e mais relevante de acordo com o Documento de Requisitos</w:t>
            </w:r>
          </w:p>
        </w:tc>
      </w:tr>
    </w:tbl>
    <w:p>
      <w:pPr>
        <w:pStyle w:val="Normal"/>
        <w:spacing w:before="0" w:after="16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spacing w:before="0" w:after="160"/>
        <w:rPr>
          <w:rFonts w:ascii="Arial" w:hAnsi="Arial"/>
        </w:rPr>
      </w:pPr>
      <w:r>
        <w:rPr>
          <w:rFonts w:ascii="Arial" w:hAnsi="Arial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276" w:right="1276" w:gutter="0" w:header="680" w:top="1418" w:footer="566" w:bottom="127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Calibri" w:cs="Calibri"/>
        <w:color w:val="5A5A5A"/>
        <w:sz w:val="16"/>
        <w:szCs w:val="16"/>
      </w:rPr>
      <w:t xml:space="preserve">UNIASSELVI — Engenharia de Software   |   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  <w:r>
      <w:rPr>
        <w:rFonts w:eastAsia="Calibri" w:cs="Calibri"/>
        <w:color w:val="5A5A5A"/>
        <w:sz w:val="16"/>
        <w:szCs w:val="16"/>
      </w:rPr>
      <w:t xml:space="preserve"> de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Calibri" w:cs="Calibri"/>
        <w:color w:val="5A5A5A"/>
        <w:sz w:val="16"/>
        <w:szCs w:val="16"/>
      </w:rPr>
      <w:t xml:space="preserve">UNIASSELVI — Engenharia de Software   |   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  <w:r>
      <w:rPr>
        <w:rFonts w:eastAsia="Calibri" w:cs="Calibri"/>
        <w:color w:val="5A5A5A"/>
        <w:sz w:val="16"/>
        <w:szCs w:val="16"/>
      </w:rPr>
      <w:t xml:space="preserve"> de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4" w:color="00A59A"/>
      </w:pBdr>
      <w:spacing w:before="0" w:after="40"/>
      <w:jc w:val="end"/>
      <w:rPr/>
    </w:pPr>
    <w:r>
      <w:rPr>
        <w:rFonts w:eastAsia="Calibri" w:cs="Calibri"/>
        <w:color w:val="5A5A5A"/>
        <w:sz w:val="16"/>
        <w:szCs w:val="16"/>
      </w:rPr>
      <w:t>Experiência Profissional: Desenvolvimento de Aplicações  |  Termo de Referência — Modelo em branco para preenchimento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4" w:color="00A59A"/>
      </w:pBdr>
      <w:spacing w:before="0" w:after="40"/>
      <w:jc w:val="end"/>
      <w:rPr/>
    </w:pPr>
    <w:r>
      <w:rPr>
        <w:rFonts w:eastAsia="Calibri" w:cs="Calibri"/>
        <w:color w:val="5A5A5A"/>
        <w:sz w:val="16"/>
        <w:szCs w:val="16"/>
      </w:rPr>
      <w:t>Experiência Profissional: Desenvolvimento de Aplicações  |  Termo de Referência — Modelo em branco para preenchimento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460" w:hanging="2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0"/>
        </w:tabs>
        <w:ind w:start="900" w:hanging="2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333333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333333"/>
      <w:kern w:val="0"/>
      <w:sz w:val="22"/>
      <w:szCs w:val="22"/>
      <w:lang w:val="pt-BR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rPr>
      <w:vertAlign w:val="superscript"/>
    </w:rPr>
  </w:style>
  <w:style w:type="character" w:styleId="FootnoteCharactersuser">
    <w:name w:val="Footnote Characters (user)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Characters">
    <w:name w:val="Endnote Characters"/>
    <w:uiPriority w:val="99"/>
    <w:semiHidden/>
    <w:unhideWhenUsed/>
    <w:rPr>
      <w:vertAlign w:val="superscript"/>
    </w:rPr>
  </w:style>
  <w:style w:type="character" w:styleId="EndnoteCharactersuser">
    <w:name w:val="Endnote Characters (user)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Strong">
    <w:name w:val="Strong"/>
    <w:rPr>
      <w:b/>
      <w:bCs/>
    </w:rPr>
  </w:style>
  <w:style w:type="character" w:styleId="Bullets">
    <w:name w:val="Bullets"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b/>
      <w:bCs/>
      <w:color w:val="333333"/>
      <w:kern w:val="0"/>
      <w:sz w:val="22"/>
      <w:szCs w:val="22"/>
      <w:lang w:val="pt-BR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333333"/>
      <w:kern w:val="0"/>
      <w:sz w:val="22"/>
      <w:szCs w:val="22"/>
      <w:lang w:val="pt-B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PreformattedText">
    <w:name w:val="Preformatted Text"/>
    <w:basedOn w:val="Normal"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74</TotalTime>
  <Application>LibreOffice/26.8.0.3$Windows_X86_64 LibreOffice_project/bce0998afefdbc355585ca324285661a2170ba77</Application>
  <AppVersion>15.0000</AppVersion>
  <Pages>5</Pages>
  <Words>980</Words>
  <Characters>6002</Characters>
  <CharactersWithSpaces>6901</CharactersWithSpaces>
  <Paragraphs>126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2026-08-27T01:51:04Z</dcterms:created>
  <dc:creator>Prof. Evaldo A. Oliveira</dc:creator>
  <dc:description>Material didático — UNIASSELVI</dc:description>
  <dc:language>pt-BR</dc:language>
  <cp:lastModifiedBy/>
  <cp:lastPrinted>2026-09-25T21:22:05Z</cp:lastPrinted>
  <dcterms:modified xsi:type="dcterms:W3CDTF">2026-09-25T21:22:09Z</dcterms:modified>
  <cp:revision>15</cp:revision>
  <dc:subject/>
  <dc:title>Experiência Profissional: Desenvolvimento de Aplicações — Termo de Referência — Modelo em branco para preenchimento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