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CENTRO UNIVERSITÁRIO LEONARDO DA VINCI — UNIASSELVI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Engenharia de Software — 7º período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7A6C"/>
          <w:sz w:val="40"/>
          <w:szCs w:val="40"/>
        </w:rPr>
        <w:t xml:space="preserve">Documento de Requisitos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Aplicativo de Detecção de Tentativas de Phishing por Correio Eletrônico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Elaborado a partir da entrevista estruturada (Blocos A–H) e do Termo de Referência v1.0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Equipe executora: Ethan Buttazzi — Projetista, Pesquisador e Implementador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Orientador: Prof. Evaldo A. Oliveira</w:t>
      </w:r>
    </w:p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1. Identificação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</w:t>
            </w:r>
          </w:p>
        </w:tc>
        <w:tc>
          <w:tcPr>
            <w:tcW w:type="dxa" w:w="6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de Requisitos v1.0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de origem</w:t>
            </w:r>
          </w:p>
        </w:tc>
        <w:tc>
          <w:tcPr>
            <w:tcW w:type="dxa" w:w="68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Termo de Referência — Aplicativo de Detecção de Tentativas de Phishing por Correio Eletrônico (v1.0)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Vínculo acadêmico</w:t>
            </w:r>
          </w:p>
        </w:tc>
        <w:tc>
          <w:tcPr>
            <w:tcW w:type="dxa" w:w="6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Trabalho de Conclusão de Curso — Engenharia de Software, 7º período — UNIASSELVI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das informações</w:t>
            </w:r>
          </w:p>
        </w:tc>
        <w:tc>
          <w:tcPr>
            <w:tcW w:type="dxa" w:w="68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Entrevista estruturada (Roteiro de Entrevista, Blocos A–H) conduzida com a equipe executora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6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24/09/2026</w:t>
            </w:r>
          </w:p>
        </w:tc>
      </w:tr>
    </w:tbl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2. Objetivo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Prover evidência de viabilidade técnica para um serviço de proteção contra phishing por e-mail dirigido ao usuário individual (pessoa física e microempreendedor), e não ao ambiente corporativo — segmento no qual as soluções atualmente disponíveis no mercado se concentram, com custo e complexidade pouco adequados ao uso doméstico. A abordagem proposta identifica tentativas de phishing por meio de cross-referência entre o conteúdo das mensagens recebidas e uma base documental de templates de comunicação oficial fornecidos por diferentes empresas (padrões de domínio, formatação e canais oficiais).</w:t>
      </w:r>
    </w:p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3. Contexto (resumo)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Hoje, fora o filtro de spam padrão de qualquer provedor de e-mail, toda mensagem que chega à caixa principal é validada manualmente pelo próprio usuário, com base exclusivamente em seu conhecimento e experiência pessoal. O resultado dessa validação varia fortemente com a aptidão técnica do usuário, e uma única falha de julgamento pode ter consequências severas — comprometimento de conta, roubo de dados, propagação de malware ou perda financeira —, agravadas pela sofisticação crescente dos ataques (engenharia social apoiada em IA generativa e deepfakes de voz). O maior custo percebido do processo atual é o tempo gasto pelo próprio usuário verificando manualmente cada mensagem, especialmente relevante para freelancers e microempreendedores cuja comunicação com clientes depende do e-mail.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Dimensão do problema (fonte: Termo de Referência, seção 2): a Kaspersky registrou aproximadamente 553 milhões de tentativas de phishing no Brasil entre julho/2024 e julho/2025; pesquisa citada pelo Banco Central aponta que 10% dos entrevistados declararam já ter sido vítimas de golpes eletrônicos. Como referência complementar e apenas analógica — não é uma métrica de usuário doméstico —, o relatório KnowBe4 2024 Phishing by Industry Benchmarking (54 milhões de simulações, 11,9 milhões de indivíduos) constatou que, sem treinamento de conscientização em segurança, 34,3% dos usuários corporativos clicariam em links maliciosos ou atenderiam a solicitações fraudulentas.</w:t>
      </w:r>
    </w:p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4. Escopo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4.1 Escopo incluído (núcleo funcional da PoC)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sistema opera continuamente em segundo plano (background service / ícone na bandeja do sistema).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sistema intercepta, em nível de protocolo (IMAP sobre SSL/TLS, porta 993, via biblioteca MailKit em C#), as mensagens recebidas na caixa de entrada principal do usuário.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sistema filtra e seleciona apenas mensagens que contenham ao menos um hyperlink incorporado.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sistema valida cada hyperlink encontrado, verificando: (a) se a URL de destino não pertence a um serviço de encurtamento de links conhecido; e (b) se o domínio de destino corresponde a um domínio oficial registrado na base de templates da empresa aparentemente remetente.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Mensagens em que a validação falhar são marcadas como suspeitas e sinalizadas ao usuário.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Para cada mensagem suspeita, o sistema gera um relatório detalhando as inconsistências encontradas.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Nesta PoC, a base de templates é hospedada localmente (localhost) — sem servidor externo dedicado (TR, seção 3.3).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4.2 Escopo excluído (conforme Termo de Referência, seção 3.3)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Interface gráfica elaborada — interação limitada a notificações nativas do sistema operacional e à bandeja do sistema.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Servidor externo dedicado além do necessário para hospedar a base de templates.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Cooperação formal/parceria com provedores de e-mail — o acesso à caixa do usuário ocorre via OAuth2 e IMAP público, mecanismo padrão de qualquer aplicação de terceiros, sem envolver parceria com Google/Microsoft.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4.3 Visão de produto ideal (fora do escopo atual da PoC)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Sinalização visual das mensagens suspeitas diretamente na caixa de entrada (ex.: marcador semitransparente vermelho) e destaque, dentro da própria mensagem aberta, do trecho exato que gerou a suspeita.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Base de templates hospedada externamente e atualizável centralmente, sem exigir alteração do binário instalado no cliente.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Ambos os itens são direção futura de produto; não fazem parte dos critérios de aceitação da entrega atual — o primeiro por depender de interface elaborada, o segundo por depender de servidor externo dedicado, ambos explicitamente fora do escopo do TR (seção 3.3).</w:t>
      </w:r>
    </w:p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5. Requisitos Funcionais (RF)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626"/>
        <w:gridCol w:w="2700"/>
      </w:tblGrid>
      <w:tr>
        <w:trPr>
          <w:cantSplit/>
          <w:tblHeader/>
        </w:trPr>
        <w:tc>
          <w:tcPr>
            <w:tcW w:type="dxa" w:w="7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626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7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 de aceitação (TR)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RF-01</w:t>
            </w:r>
          </w:p>
        </w:tc>
        <w:tc>
          <w:tcPr>
            <w:tcW w:type="dxa" w:w="5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operar continuamente em segundo plano, sem exigir interação contínua do usuário.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RF-02</w:t>
            </w:r>
          </w:p>
        </w:tc>
        <w:tc>
          <w:tcPr>
            <w:tcW w:type="dxa" w:w="5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autenticar-se à conta de e-mail do usuário por meio de fluxo OAuth2 (Google/Microsoft), sem coletar ou armazenar a senha da conta.</w:t>
            </w:r>
          </w:p>
        </w:tc>
        <w:tc>
          <w:tcPr>
            <w:tcW w:type="dxa" w:w="2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RF-03</w:t>
            </w:r>
          </w:p>
        </w:tc>
        <w:tc>
          <w:tcPr>
            <w:tcW w:type="dxa" w:w="5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não deve realizar nenhuma análise de mensagens enquanto não houver uma autorização OAuth2 válida configurada.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CA-06 (adaptado — ver seção 9)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RF-04</w:t>
            </w:r>
          </w:p>
        </w:tc>
        <w:tc>
          <w:tcPr>
            <w:tcW w:type="dxa" w:w="5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monitorar, via protocolo IMAP com SSL/TLS (porta 993) usando MailKit, as mensagens recebidas na caixa de entrada principal.</w:t>
            </w:r>
          </w:p>
        </w:tc>
        <w:tc>
          <w:tcPr>
            <w:tcW w:type="dxa" w:w="2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RF-05</w:t>
            </w:r>
          </w:p>
        </w:tc>
        <w:tc>
          <w:tcPr>
            <w:tcW w:type="dxa" w:w="5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identificar, entre as mensagens recebidas, as que contêm ao menos um hyperlink incorporado.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CA-01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RF-06</w:t>
            </w:r>
          </w:p>
        </w:tc>
        <w:tc>
          <w:tcPr>
            <w:tcW w:type="dxa" w:w="5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ignorar (não analisar) mensagens que não contenham hyperlink.</w:t>
            </w:r>
          </w:p>
        </w:tc>
        <w:tc>
          <w:tcPr>
            <w:tcW w:type="dxa" w:w="2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CA-05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RF-07</w:t>
            </w:r>
          </w:p>
        </w:tc>
        <w:tc>
          <w:tcPr>
            <w:tcW w:type="dxa" w:w="5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cada hyperlink das mensagens selecionadas, o sistema deve validar: (a) se a URL de destino não pertence a um serviço de encurtamento de links conhecido; (b) se o domínio de destino corresponde a um domínio oficial registrado na base de templates da empresa aparentemente remetente.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RF-08</w:t>
            </w:r>
          </w:p>
        </w:tc>
        <w:tc>
          <w:tcPr>
            <w:tcW w:type="dxa" w:w="5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marcar (flag) como suspeita toda mensagem em que a validação de RF-07 falhar.</w:t>
            </w:r>
          </w:p>
        </w:tc>
        <w:tc>
          <w:tcPr>
            <w:tcW w:type="dxa" w:w="2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CA-02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RF-09</w:t>
            </w:r>
          </w:p>
        </w:tc>
        <w:tc>
          <w:tcPr>
            <w:tcW w:type="dxa" w:w="5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sinalizar ao usuário a existência de mensagem(ns) suspeita(s) (ex.: notificação nativa do sistema operacional).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CA-03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RF-10</w:t>
            </w:r>
          </w:p>
        </w:tc>
        <w:tc>
          <w:tcPr>
            <w:tcW w:type="dxa" w:w="5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gerar, para cada mensagem suspeita, um relatório detalhando os elementos/inconsistências identificados.</w:t>
            </w:r>
          </w:p>
        </w:tc>
        <w:tc>
          <w:tcPr>
            <w:tcW w:type="dxa" w:w="2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CA-04</w:t>
            </w:r>
          </w:p>
        </w:tc>
      </w:tr>
    </w:tbl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6. Requisitos Não Funcionais (RNF)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4626"/>
        <w:gridCol w:w="2100"/>
      </w:tblGrid>
      <w:tr>
        <w:trPr>
          <w:cantSplit/>
          <w:tblHeader/>
        </w:trPr>
        <w:tc>
          <w:tcPr>
            <w:tcW w:type="dxa" w:w="7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4626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1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 de aceitação (TR)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Desempenho</w:t>
            </w:r>
          </w:p>
        </w:tc>
        <w:tc>
          <w:tcPr>
            <w:tcW w:type="dxa" w:w="4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concluir a análise de uma mensagem recebida em até 10 segundos após seu recebimento.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CA-07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RNF-02</w:t>
            </w:r>
          </w:p>
        </w:tc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</w:t>
            </w:r>
          </w:p>
        </w:tc>
        <w:tc>
          <w:tcPr>
            <w:tcW w:type="dxa" w:w="4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não deve armazenar nem solicitar a senha da conta de e-mail do usuário; toda autenticação ocorre via OAuth2.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RNF-03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</w:t>
            </w:r>
          </w:p>
        </w:tc>
        <w:tc>
          <w:tcPr>
            <w:tcW w:type="dxa" w:w="4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processamento de análise e cross-referência ocorre localmente no dispositivo do usuário (client-side); nenhum conteúdo de e-mail é transmitido a servidores externos.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RNF-04</w:t>
            </w:r>
          </w:p>
        </w:tc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Infraestrutura</w:t>
            </w:r>
          </w:p>
        </w:tc>
        <w:tc>
          <w:tcPr>
            <w:tcW w:type="dxa" w:w="4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Nesta PoC, a base de templates deve ser hospedada localmente (localhost), sem depender de servidor externo dedicado, em conformidade com a restrição orçamentária do TR (seção 6.1).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Seção 3.3/6.1 do TR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4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funcionar de forma agnóstica ao provedor de e-mail, desde que este suporte IMAP com SSL/TLS (porta 993) e OAuth2 (ex.: Gmail, Microsoft 365/Outlook).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RNF-06</w:t>
            </w:r>
          </w:p>
        </w:tc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Instalabilidade</w:t>
            </w:r>
          </w:p>
        </w:tc>
        <w:tc>
          <w:tcPr>
            <w:tcW w:type="dxa" w:w="4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poder ser instalado por um usuário sem participação no desenvolvimento, seguindo exclusivamente o manual de instalação e uso.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CA-08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RNF-07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46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interação com o usuário deve se limitar a notificações nativas do sistema operacional e a um ícone na bandeja do sistema, sem interface gráfica elaborada.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RNF-08</w:t>
            </w:r>
          </w:p>
        </w:tc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Tecnologia</w:t>
            </w:r>
          </w:p>
        </w:tc>
        <w:tc>
          <w:tcPr>
            <w:tcW w:type="dxa" w:w="46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deve ser implementado em C#, utilizando a biblioteca MailKit para comunicação IMAP.</w:t>
            </w:r>
          </w:p>
        </w:tc>
        <w:tc>
          <w:tcPr>
            <w:tcW w:type="dxa" w:w="21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7. Funcionalidades do Software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Cada funcionalidade abaixo corresponde a um card no quadro Kanban de desenvolvimento; a coluna “Requisito(s) relacionado(s)” indica o que precisa ser satisfeito para o card ser considerado concluído (seção 12).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50"/>
        <w:gridCol w:w="4076"/>
        <w:gridCol w:w="2600"/>
      </w:tblGrid>
      <w:tr>
        <w:trPr>
          <w:cantSplit/>
          <w:tblHeader/>
        </w:trPr>
        <w:tc>
          <w:tcPr>
            <w:tcW w:type="dxa" w:w="6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75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4076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6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Requisito(s) relacionado(s)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F-01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Autorização segura (onboarding)</w:t>
            </w:r>
          </w:p>
        </w:tc>
        <w:tc>
          <w:tcPr>
            <w:tcW w:type="dxa" w:w="40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Concessão de acesso à caixa de entrada via OAuth2, sem uso de senha de aplicativo.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RF-02, RF-03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Monitoramento contínuo</w:t>
            </w:r>
          </w:p>
        </w:tc>
        <w:tc>
          <w:tcPr>
            <w:tcW w:type="dxa" w:w="407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Observação em segundo plano da caixa de entrada principal via IMAP/SSL.</w:t>
            </w:r>
          </w:p>
        </w:tc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RF-01, RF-04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F-03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Filtragem por hyperlink</w:t>
            </w:r>
          </w:p>
        </w:tc>
        <w:tc>
          <w:tcPr>
            <w:tcW w:type="dxa" w:w="40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Seleção das mensagens recebidas que contêm hyperlink; descarte das demais.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RF-05, RF-06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F-04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Validação de hyperlink</w:t>
            </w:r>
          </w:p>
        </w:tc>
        <w:tc>
          <w:tcPr>
            <w:tcW w:type="dxa" w:w="407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de link encurtado e de correspondência do domínio de destino com o domínio oficial da empresa remetente.</w:t>
            </w:r>
          </w:p>
        </w:tc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RF-07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F-05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Marcação de suspeita</w:t>
            </w:r>
          </w:p>
        </w:tc>
        <w:tc>
          <w:tcPr>
            <w:tcW w:type="dxa" w:w="40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Sinalização interna da mensagem como suspeita quando a validação falha.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RF-08</w:t>
            </w:r>
          </w:p>
        </w:tc>
      </w:tr>
      <w:tr>
        <w:trPr>
          <w:cantSplit/>
        </w:trPr>
        <w:tc>
          <w:tcPr>
            <w:tcW w:type="dxa" w:w="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F-06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Notificação ao usuário</w:t>
            </w:r>
          </w:p>
        </w:tc>
        <w:tc>
          <w:tcPr>
            <w:tcW w:type="dxa" w:w="407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Aviso nativo do sistema operacional sobre mensagem(ns) suspeita(s).</w:t>
            </w:r>
          </w:p>
        </w:tc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RF-09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F-07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Relatório de inconsistências</w:t>
            </w:r>
          </w:p>
        </w:tc>
        <w:tc>
          <w:tcPr>
            <w:tcW w:type="dxa" w:w="40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Documento/registro detalhando os elementos que motivaram a suspeita.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RF-10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Os RNFs (seção 6) são transversais — não pertencem a um card específico, mas são critério de aceitação de qualquer card que os toque (ex.: nenhum card pode violar RNF-02, independente da funcionalidade).</w:t>
      </w:r>
    </w:p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8. Requisitos de Dados — Base de Templates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Para a PoC, a base é composta por uma amostra de padrões manufaturados (conforme Termo de Referência, seção 3.3), hospedada localmente (localhost — ver seção 4.1/RNF-04), reduzida ao mínimo necessário para as duas checagens de RF-07.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 de dados</w:t>
            </w:r>
          </w:p>
        </w:tc>
        <w:tc>
          <w:tcPr>
            <w:tcW w:type="dxa" w:w="6726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Templates de empresas — Empresa/marca</w:t>
            </w:r>
          </w:p>
        </w:tc>
        <w:tc>
          <w:tcPr>
            <w:tcW w:type="dxa" w:w="67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 da instituição legítima representada.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Templates de empresas — Domínio(s) oficial(is) registrado(s)</w:t>
            </w:r>
          </w:p>
        </w:tc>
        <w:tc>
          <w:tcPr>
            <w:tcW w:type="dxa" w:w="672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Domínio(s) esperado(s) para links legítimos dessa empresa; usado na checagem (b) de RF-07.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 de serviços de encurtamento de link conhecidos</w:t>
            </w:r>
          </w:p>
        </w:tc>
        <w:tc>
          <w:tcPr>
            <w:tcW w:type="dxa" w:w="67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Domínios de encurtadores (ex.: bit.ly, tinyurl.com, t.co) usada na checagem (a) de RF-07. Lista global, não associada a uma empresa específica.</w:t>
            </w:r>
          </w:p>
        </w:tc>
      </w:tr>
    </w:tbl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9. Matriz de Rastreabilidade (TR × Requisitos)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4076"/>
        <w:gridCol w:w="2000"/>
        <w:gridCol w:w="2000"/>
      </w:tblGrid>
      <w:tr>
        <w:trPr>
          <w:cantSplit/>
          <w:tblHeader/>
        </w:trPr>
        <w:tc>
          <w:tcPr>
            <w:tcW w:type="dxa" w:w="95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 (TR)</w:t>
            </w:r>
          </w:p>
        </w:tc>
        <w:tc>
          <w:tcPr>
            <w:tcW w:type="dxa" w:w="4076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 de aceitação (Termo de Referência)</w:t>
            </w:r>
          </w:p>
        </w:tc>
        <w:tc>
          <w:tcPr>
            <w:tcW w:type="dxa" w:w="20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Requisito(s) relacionado(s)</w:t>
            </w:r>
          </w:p>
        </w:tc>
        <w:tc>
          <w:tcPr>
            <w:tcW w:type="dxa" w:w="20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CA-01</w:t>
            </w:r>
          </w:p>
        </w:tc>
        <w:tc>
          <w:tcPr>
            <w:tcW w:type="dxa" w:w="40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aplicativo deve identificar mensagens que contenham hiperlinks.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RF-05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</w:tr>
      <w:tr>
        <w:trPr>
          <w:cantSplit/>
        </w:trPr>
        <w:tc>
          <w:tcPr>
            <w:tcW w:type="dxa" w:w="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CA-02</w:t>
            </w:r>
          </w:p>
        </w:tc>
        <w:tc>
          <w:tcPr>
            <w:tcW w:type="dxa" w:w="407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aplicativo deve sinalizar mensagens identificadas como suspeitas.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RF-08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CA-03</w:t>
            </w:r>
          </w:p>
        </w:tc>
        <w:tc>
          <w:tcPr>
            <w:tcW w:type="dxa" w:w="40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aplicativo deve notificar o usuário sobre mensagens suspeitas.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RF-09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</w:tr>
      <w:tr>
        <w:trPr>
          <w:cantSplit/>
        </w:trPr>
        <w:tc>
          <w:tcPr>
            <w:tcW w:type="dxa" w:w="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CA-04</w:t>
            </w:r>
          </w:p>
        </w:tc>
        <w:tc>
          <w:tcPr>
            <w:tcW w:type="dxa" w:w="407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aplicativo deve apresentar os elementos suspeitos identificados na mensagem.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RF-10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CA-05</w:t>
            </w:r>
          </w:p>
        </w:tc>
        <w:tc>
          <w:tcPr>
            <w:tcW w:type="dxa" w:w="40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aplicativo deve ignorar mensagens sem hiperlinks.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</w:tr>
      <w:tr>
        <w:trPr>
          <w:cantSplit/>
        </w:trPr>
        <w:tc>
          <w:tcPr>
            <w:tcW w:type="dxa" w:w="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CA-06</w:t>
            </w:r>
          </w:p>
        </w:tc>
        <w:tc>
          <w:tcPr>
            <w:tcW w:type="dxa" w:w="407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aplicativo deve impedir a análise quando a senha de aplicativo não estiver configurada.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RF-03, RF-02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Divergente — ver seção 10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CA-07</w:t>
            </w:r>
          </w:p>
        </w:tc>
        <w:tc>
          <w:tcPr>
            <w:tcW w:type="dxa" w:w="407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aplicativo deve analisar cada mensagem em até 10 segundos após seu recebimento.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</w:tr>
      <w:tr>
        <w:trPr>
          <w:cantSplit/>
        </w:trPr>
        <w:tc>
          <w:tcPr>
            <w:tcW w:type="dxa" w:w="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CA-08</w:t>
            </w:r>
          </w:p>
        </w:tc>
        <w:tc>
          <w:tcPr>
            <w:tcW w:type="dxa" w:w="4076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aplicativo deve ser instalado por terceiro seguindo exclusivamente o manual de instalação e uso.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RNF-06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</w:tr>
    </w:tbl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10. Observações e Divergências Identificadas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Durante a entrevista, dois pontos do Termo de Referência v1.0 precisaram de reconciliação com a arquitetura real do projeto (C#, MailKit, IMAP/OAuth2):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CA-06 pressupõe autenticação por senha de aplicativo. A arquitetura adotada usa OAuth2, um mecanismo diferente. RF-03 reescreve o critério em termos equivalentes (bloqueio de análise sem autorização válida), mas essa é uma mudança de especificação, não apenas de redação.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item “Integração com Provedores de Correio Eletrônico” do escopo excluído (TR, seção 3.3) foi originalmente escrito supondo que qualquer acesso à conta real do usuário estaria fora do alcance da equipe. A equipe esclareceu que o acesso via OAuth2 público (sem parceria/cooperação formal com Google ou Microsoft) não constitui a integração cooperativa que aquele item pretendia excluir, mas ainda assim representa uma dependência de provedor externo que o TR não registrava explicitamente.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Recomendação: registrar ambos os pontos na seção 7 (Controle de Alterações) do Termo de Referência antes da entrega da versão 1.1, com a justificativa e o impacto correspondentes, para que a divergência não seja identificada apenas na avaliação final.</w:t>
      </w:r>
    </w:p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11. Definition of Ready (DoR)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Desenvolvimento solo, com apoio de codificação agêntica, organizado em Kanban — cada funcionalidade (seção 7) é um card. Um card está pronto para entrar em “Em andamento” quando: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card referencia a funcionalidade (F-XX) e os requisitos e critério(s) de aceitação relacionados (seção 7 e 9).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Os dados necessários para implementar e testar existem (ex.: amostra local de templates e alguns links de teste — seção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card não depende de outro card ainda não concluído.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card não esbarra em nada do escopo excluído do TR (seção 3.3 / 4.2).</w:t>
      </w:r>
    </w:p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12. Definition of Done (DoD)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Um card está concluído quando: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código está implementado e commitado no repositório.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funcionalidade foi testada contra o(s) critério(s) de aceitação relacionado(s) (matriz da seção 9) e passou.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Nenhum critério de aceitação já conforme foi quebrado por essa mudança (sem regressão).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Nenhuma credencial, senha ou segredo (client secret, token) ficou hardcoded no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card foi movido para “Concluído” no quadro Kanban.</w:t>
      </w:r>
    </w:p>
    <w:p>
      <w:pPr>
        <w:pStyle w:val="Heading1"/>
        <w:pBdr>
          <w:bottom w:val="single" w:color="1F7A6C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7A6C"/>
          <w:sz w:val="28"/>
          <w:szCs w:val="28"/>
        </w:rPr>
        <w:t xml:space="preserve">13. Controle de Versão do Documento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600"/>
        <w:gridCol w:w="3826"/>
      </w:tblGrid>
      <w:tr>
        <w:trPr>
          <w:cantSplit/>
          <w:tblHeader/>
        </w:trPr>
        <w:tc>
          <w:tcPr>
            <w:tcW w:type="dxa" w:w="12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4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600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 alterado</w:t>
            </w:r>
          </w:p>
        </w:tc>
        <w:tc>
          <w:tcPr>
            <w:tcW w:type="dxa" w:w="3826"/>
            <w:shd w:fill="1F7A6C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Razão e impacto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24/09/2026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</w:t>
            </w:r>
          </w:p>
        </w:tc>
        <w:tc>
          <w:tcPr>
            <w:tcW w:type="dxa" w:w="38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Elaborado a partir da entrevista estruturada (Blocos A–H) e do Termo de Referência v1.0.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5"/>
        <w:szCs w:val="15"/>
      </w:rPr>
      <w:t xml:space="preserve">UNIASSELVI — Engenharia de Software  |  Página </w:t>
    </w:r>
    <w:r>
      <w:rPr>
        <w:rFonts w:ascii="Calibri" w:cs="Calibri" w:eastAsia="Calibri" w:hAnsi="Calibri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5"/>
        <w:szCs w:val="15"/>
      </w:rPr>
      <w:t xml:space="preserve"> de </w:t>
    </w:r>
    <w:r>
      <w:rPr>
        <w:rFonts w:ascii="Calibri" w:cs="Calibri" w:eastAsia="Calibri" w:hAnsi="Calibri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</w:pPr>
    <w:r>
      <w:rPr>
        <w:rFonts w:ascii="Calibri" w:cs="Calibri" w:eastAsia="Calibri" w:hAnsi="Calibri"/>
        <w:color w:val="888888"/>
        <w:sz w:val="15"/>
        <w:szCs w:val="15"/>
      </w:rPr>
      <w:t xml:space="preserve">Aplicativo de Detecção de Tentativas de Phishing por Correio Eletrônico | Documento de Requisitos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2026-09-24T23:14:07.908Z</dcterms:created>
  <dcterms:modified xsi:type="dcterms:W3CDTF">2026-09-24T23:14:07.915Z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