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p xmlns:wp14="http://schemas.microsoft.com/office/word/2010/wordml" w14:paraId="672A6659" wp14:textId="77777777">
      <w:pPr>
        <w:spacing w:before="900" w:after="200"/>
        <w:jc w:val="center"/>
      </w:pPr>
      <w:r>
        <w:drawing>
          <wp:inline xmlns:wp14="http://schemas.microsoft.com/office/word/2010/wordprocessingDrawing" distT="0" distB="0" distL="0" distR="0" wp14:anchorId="68E28BAC" wp14:editId="7777777">
            <wp:extent cx="1809750" cy="1285875"/>
            <wp:effectExtent l="0" t="0" r="0" b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838145C" wp14:textId="77777777">
      <w:pPr>
        <w:spacing w:after="80"/>
        <w:jc w:val="center"/>
      </w:pPr>
      <w:r>
        <w:rPr>
          <w:rFonts w:ascii="Calibri" w:hAnsi="Calibri" w:eastAsia="Calibri" w:cs="Calibri"/>
          <w:b/>
          <w:bCs/>
          <w:color w:val="333333"/>
          <w:sz w:val="20"/>
          <w:szCs w:val="20"/>
        </w:rPr>
        <w:t xml:space="preserve">CENTRO UNIVERSITÁRIO LEONARDO DA VINCI — UNIASSELVI</w:t>
      </w:r>
    </w:p>
    <w:p xmlns:wp14="http://schemas.microsoft.com/office/word/2010/wordml" w:rsidP="5EBFC3C0" w14:paraId="57F583AF" wp14:textId="23C2AA46">
      <w:pPr>
        <w:spacing w:after="600"/>
        <w:jc w:val="center"/>
        <w:rPr>
          <w:rFonts w:ascii="Calibri" w:hAnsi="Calibri" w:eastAsia="Calibri" w:cs="Calibri"/>
          <w:color w:val="5A5A5A"/>
          <w:sz w:val="20"/>
          <w:szCs w:val="20"/>
          <w:lang w:val="en-US"/>
        </w:rPr>
      </w:pPr>
      <w:r w:rsidRPr="5EBFC3C0" w:rsidR="5EBFC3C0">
        <w:rPr>
          <w:rFonts w:ascii="Calibri" w:hAnsi="Calibri" w:eastAsia="Calibri" w:cs="Calibri"/>
          <w:color w:val="5A5A5A"/>
          <w:sz w:val="20"/>
          <w:szCs w:val="20"/>
          <w:lang w:val="en-US"/>
        </w:rPr>
        <w:t>Engenharia</w:t>
      </w:r>
      <w:r w:rsidRPr="5EBFC3C0" w:rsidR="5EBFC3C0">
        <w:rPr>
          <w:rFonts w:ascii="Calibri" w:hAnsi="Calibri" w:eastAsia="Calibri" w:cs="Calibri"/>
          <w:color w:val="5A5A5A"/>
          <w:sz w:val="20"/>
          <w:szCs w:val="20"/>
          <w:lang w:val="en-US"/>
        </w:rPr>
        <w:t xml:space="preserve"> de Software</w:t>
      </w:r>
    </w:p>
    <w:p xmlns:wp14="http://schemas.microsoft.com/office/word/2010/wordml" w14:paraId="7174070A" wp14:textId="77777777">
      <w:pPr>
        <w:spacing w:after="120"/>
        <w:jc w:val="center"/>
      </w:pPr>
      <w:r w:rsidRPr="5EBFC3C0" w:rsidR="5EBFC3C0">
        <w:rPr>
          <w:rFonts w:ascii="Calibri" w:hAnsi="Calibri" w:eastAsia="Calibri" w:cs="Calibri"/>
          <w:b w:val="1"/>
          <w:bCs w:val="1"/>
          <w:color w:val="00A59A"/>
          <w:sz w:val="30"/>
          <w:szCs w:val="30"/>
          <w:lang w:val="en-US"/>
        </w:rPr>
        <w:t>Experiência Profissional: Desenvolvimento de Aplicações</w:t>
      </w:r>
    </w:p>
    <w:p xmlns:wp14="http://schemas.microsoft.com/office/word/2010/wordml" w14:paraId="6500A657" wp14:textId="77777777">
      <w:pPr>
        <w:spacing w:after="700"/>
        <w:jc w:val="center"/>
      </w:pPr>
      <w:r w:rsidRPr="5EBFC3C0" w:rsidR="5EBFC3C0">
        <w:rPr>
          <w:rFonts w:ascii="Calibri" w:hAnsi="Calibri" w:eastAsia="Calibri" w:cs="Calibri"/>
          <w:b w:val="1"/>
          <w:bCs w:val="1"/>
          <w:color w:val="00695F"/>
          <w:sz w:val="40"/>
          <w:szCs w:val="40"/>
          <w:lang w:val="en-US"/>
        </w:rPr>
        <w:t>AV1 — Avaliação do Andamento</w:t>
      </w:r>
    </w:p>
    <w:p xmlns:wp14="http://schemas.microsoft.com/office/word/2010/wordml" w14:paraId="711D8C57" wp14:textId="77777777">
      <w:pPr>
        <w:spacing w:after="100"/>
        <w:jc w:val="center"/>
      </w:pPr>
      <w:r w:rsidRPr="5EBFC3C0" w:rsidR="5EBFC3C0">
        <w:rPr>
          <w:rFonts w:ascii="Calibri" w:hAnsi="Calibri" w:eastAsia="Calibri" w:cs="Calibri"/>
          <w:color w:val="5A5A5A"/>
          <w:sz w:val="22"/>
          <w:szCs w:val="22"/>
          <w:lang w:val="en-US"/>
        </w:rPr>
        <w:t>Detecção de Phishing por E-mail — Ethan Buttazzi · Fases 1 a 3</w:t>
      </w:r>
    </w:p>
    <w:p xmlns:wp14="http://schemas.microsoft.com/office/word/2010/wordml" w14:paraId="0DB3D554" wp14:textId="77777777">
      <w:pPr>
        <w:spacing w:before="900" w:after="40"/>
        <w:jc w:val="center"/>
      </w:pPr>
      <w:r>
        <w:rPr>
          <w:rFonts w:ascii="Calibri" w:hAnsi="Calibri" w:eastAsia="Calibri" w:cs="Calibri"/>
          <w:b/>
          <w:bCs/>
          <w:color w:val="333333"/>
          <w:sz w:val="22"/>
          <w:szCs w:val="22"/>
        </w:rPr>
        <w:t xml:space="preserve">Prof. Evaldo A. Oliveira</w:t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:rsidP="5EBFC3C0" w14:paraId="2EA4B71C" wp14:textId="77777777">
      <w:pPr>
        <w:pStyle w:val="Heading1"/>
        <w:pBdr>
          <w:bottom w:val="single" w:color="FFDA1A" w:sz="8" w:space="6"/>
        </w:pBdr>
        <w:spacing w:before="360" w:after="200"/>
      </w:pPr>
      <w:r w:rsidRPr="5EBFC3C0" w:rsidR="5EBFC3C0">
        <w:rPr>
          <w:rFonts w:ascii="Calibri" w:hAnsi="Calibri" w:eastAsia="Calibri" w:cs="Calibri"/>
          <w:b w:val="1"/>
          <w:bCs w:val="1"/>
          <w:color w:val="00695F"/>
          <w:sz w:val="32"/>
          <w:szCs w:val="32"/>
          <w:lang w:val="en-US"/>
        </w:rPr>
        <w:t>Resultado</w:t>
      </w:r>
    </w:p>
    <w:tbl>
      <w:tblPr>
        <w:tblW w:w="9360" w:type="dxa"/>
        <w:tblBorders>
          <w:top w:val="single" w:color="C9D6D4" w:sz="4"/>
          <w:left w:val="single" w:color="C9D6D4" w:sz="4"/>
          <w:bottom w:val="single" w:color="C9D6D4" w:sz="4"/>
          <w:right w:val="single" w:color="C9D6D4" w:sz="4"/>
          <w:insideH w:val="single" w:color="C9D6D4" w:sz="4"/>
          <w:insideV w:val="single" w:color="C9D6D4" w:sz="4"/>
        </w:tblBorders>
      </w:tblPr>
      <w:tblGrid>
        <w:gridCol w:w="3400"/>
        <w:gridCol w:w="1300"/>
        <w:gridCol w:w="1300"/>
        <w:gridCol w:w="3360"/>
      </w:tblGrid>
      <w:tr xmlns:wp14="http://schemas.microsoft.com/office/word/2010/wordml" w:rsidTr="5EBFC3C0" w14:paraId="5607E8B6" wp14:textId="77777777">
        <w:trPr>
          <w:tblHeader/>
        </w:trPr>
        <w:tc>
          <w:tcPr>
            <w:tcW w:w="3400" w:type="dxa"/>
            <w:shd w:val="clear" w:color="auto" w:fill="00A59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612549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Bloco</w:t>
            </w:r>
          </w:p>
        </w:tc>
        <w:tc>
          <w:tcPr>
            <w:tcW w:w="1300" w:type="dxa"/>
            <w:shd w:val="clear" w:color="auto" w:fill="00A59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EB0CB1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w="1300" w:type="dxa"/>
            <w:shd w:val="clear" w:color="auto" w:fill="00A59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00D680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1"/>
                <w:bCs w:val="1"/>
                <w:color w:val="FFFFFF"/>
                <w:sz w:val="20"/>
                <w:szCs w:val="20"/>
                <w:lang w:val="en-US"/>
              </w:rPr>
              <w:t>Média</w:t>
            </w:r>
          </w:p>
        </w:tc>
        <w:tc>
          <w:tcPr>
            <w:tcW w:w="3360" w:type="dxa"/>
            <w:shd w:val="clear" w:color="auto" w:fill="00A59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22AA75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1"/>
                <w:bCs w:val="1"/>
                <w:color w:val="FFFFFF"/>
                <w:sz w:val="20"/>
                <w:szCs w:val="20"/>
                <w:lang w:val="en-US"/>
              </w:rPr>
              <w:t>Situação</w:t>
            </w:r>
          </w:p>
        </w:tc>
      </w:tr>
      <w:tr xmlns:wp14="http://schemas.microsoft.com/office/word/2010/wordml" w:rsidTr="5EBFC3C0" w14:paraId="6F89AE16" wp14:textId="77777777"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E01ABB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1"/>
                <w:bCs w:val="1"/>
                <w:color w:val="333333"/>
                <w:sz w:val="20"/>
                <w:szCs w:val="20"/>
                <w:lang w:val="en-US"/>
              </w:rPr>
              <w:t>A — Definição do problema</w:t>
            </w:r>
          </w:p>
        </w:tc>
        <w:tc>
          <w:tcPr>
            <w:tcW w:w="13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8E0D02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333333"/>
                <w:sz w:val="20"/>
                <w:szCs w:val="20"/>
              </w:rPr>
              <w:t xml:space="preserve">35%</w:t>
            </w:r>
          </w:p>
        </w:tc>
        <w:tc>
          <w:tcPr>
            <w:tcW w:w="13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2CC336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333333"/>
                <w:sz w:val="20"/>
                <w:szCs w:val="20"/>
              </w:rPr>
              <w:t xml:space="preserve">7,96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705C69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Atingido</w:t>
            </w:r>
          </w:p>
        </w:tc>
      </w:tr>
      <w:tr xmlns:wp14="http://schemas.microsoft.com/office/word/2010/wordml" w:rsidTr="5EBFC3C0" w14:paraId="05C50823" wp14:textId="77777777">
        <w:tc>
          <w:tcPr>
            <w:tcW w:w="34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4C9E13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1"/>
                <w:bCs w:val="1"/>
                <w:color w:val="333333"/>
                <w:sz w:val="20"/>
                <w:szCs w:val="20"/>
                <w:lang w:val="en-US"/>
              </w:rPr>
              <w:t>B — Decisões técnicas de base</w:t>
            </w:r>
          </w:p>
        </w:tc>
        <w:tc>
          <w:tcPr>
            <w:tcW w:w="13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DC75CA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333333"/>
                <w:sz w:val="20"/>
                <w:szCs w:val="20"/>
              </w:rPr>
              <w:t xml:space="preserve">25%</w:t>
            </w:r>
          </w:p>
        </w:tc>
        <w:tc>
          <w:tcPr>
            <w:tcW w:w="13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866886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333333"/>
                <w:sz w:val="20"/>
                <w:szCs w:val="20"/>
              </w:rPr>
              <w:t xml:space="preserve">4,10</w:t>
            </w:r>
          </w:p>
        </w:tc>
        <w:tc>
          <w:tcPr>
            <w:tcW w:w="336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9D3B55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Não atingido</w:t>
            </w:r>
          </w:p>
        </w:tc>
      </w:tr>
      <w:tr xmlns:wp14="http://schemas.microsoft.com/office/word/2010/wordml" w:rsidTr="5EBFC3C0" w14:paraId="41B61C4B" wp14:textId="77777777"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05997A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1"/>
                <w:bCs w:val="1"/>
                <w:color w:val="333333"/>
                <w:sz w:val="20"/>
                <w:szCs w:val="20"/>
                <w:lang w:val="en-US"/>
              </w:rPr>
              <w:t>C — Arquitetura</w:t>
            </w:r>
          </w:p>
        </w:tc>
        <w:tc>
          <w:tcPr>
            <w:tcW w:w="13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8DFBC8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333333"/>
                <w:sz w:val="20"/>
                <w:szCs w:val="20"/>
              </w:rPr>
              <w:t xml:space="preserve">30%</w:t>
            </w:r>
          </w:p>
        </w:tc>
        <w:tc>
          <w:tcPr>
            <w:tcW w:w="13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1962B4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333333"/>
                <w:sz w:val="20"/>
                <w:szCs w:val="20"/>
              </w:rPr>
              <w:t xml:space="preserve">6,67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6A6012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Parcialmente atingido</w:t>
            </w:r>
          </w:p>
        </w:tc>
      </w:tr>
      <w:tr xmlns:wp14="http://schemas.microsoft.com/office/word/2010/wordml" w:rsidTr="5EBFC3C0" w14:paraId="5BEC01C6" wp14:textId="77777777">
        <w:tc>
          <w:tcPr>
            <w:tcW w:w="34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D67F3C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1"/>
                <w:bCs w:val="1"/>
                <w:color w:val="333333"/>
                <w:sz w:val="20"/>
                <w:szCs w:val="20"/>
                <w:lang w:val="en-US"/>
              </w:rPr>
              <w:t>D — Processo</w:t>
            </w:r>
          </w:p>
        </w:tc>
        <w:tc>
          <w:tcPr>
            <w:tcW w:w="13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4B6B21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w="13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84D511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333333"/>
                <w:sz w:val="20"/>
                <w:szCs w:val="20"/>
              </w:rPr>
              <w:t xml:space="preserve">6,75</w:t>
            </w:r>
          </w:p>
        </w:tc>
        <w:tc>
          <w:tcPr>
            <w:tcW w:w="336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6CE4BB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Parcialmente atingido</w:t>
            </w:r>
          </w:p>
        </w:tc>
      </w:tr>
      <w:tr xmlns:wp14="http://schemas.microsoft.com/office/word/2010/wordml" w:rsidTr="5EBFC3C0" w14:paraId="26E3AC99" wp14:textId="77777777"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CBABC7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20"/>
                <w:szCs w:val="20"/>
              </w:rPr>
              <w:t xml:space="preserve">NOTA FINAL DO ANDAMENTO</w:t>
            </w:r>
          </w:p>
        </w:tc>
        <w:tc>
          <w:tcPr>
            <w:tcW w:w="13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5237C8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333333"/>
                <w:sz w:val="20"/>
                <w:szCs w:val="20"/>
              </w:rPr>
              <w:t xml:space="preserve">100%</w:t>
            </w:r>
          </w:p>
        </w:tc>
        <w:tc>
          <w:tcPr>
            <w:tcW w:w="13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4FA6E1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333333"/>
                <w:sz w:val="20"/>
                <w:szCs w:val="20"/>
              </w:rPr>
              <w:t xml:space="preserve">6,49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6AA112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Avanço condicionado, com retorno parcial à Fase 2</w:t>
            </w:r>
          </w:p>
        </w:tc>
      </w:tr>
    </w:tbl>
    <w:tbl>
      <w:tblPr>
        <w:tblW w:w="9360" w:type="dxa"/>
        <w:tblBorders>
          <w:top w:val="single" w:color="00A59A" w:sz="4"/>
          <w:left w:val="single" w:color="00A59A" w:sz="18"/>
          <w:bottom w:val="single" w:color="00A59A" w:sz="4"/>
          <w:right w:val="single" w:color="00A59A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EBFC3C0" w14:paraId="529AFF3D" wp14:textId="77777777">
        <w:trPr>
          <w:cantSplit/>
        </w:trPr>
        <w:tc>
          <w:tcPr>
            <w:tcW w:w="9360" w:type="dxa"/>
            <w:shd w:val="clear" w:color="auto" w:fill="F2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054EC39" wp14:textId="77777777">
            <w:pPr>
              <w:spacing w:after="90"/>
            </w:pPr>
            <w:r w:rsidRPr="5EBFC3C0" w:rsidR="5EBFC3C0">
              <w:rPr>
                <w:rFonts w:ascii="Calibri" w:hAnsi="Calibri" w:eastAsia="Calibri" w:cs="Calibri"/>
                <w:b w:val="1"/>
                <w:bCs w:val="1"/>
                <w:color w:val="00695F"/>
                <w:sz w:val="21"/>
                <w:szCs w:val="21"/>
                <w:lang w:val="en-US"/>
              </w:rPr>
              <w:t>Leitura em uma frase</w:t>
            </w:r>
          </w:p>
          <w:p w14:paraId="0EC53E73" wp14:textId="77777777">
            <w:pPr>
              <w:spacing w:after="70" w:line="264" w:lineRule="auto"/>
              <w:jc w:val="both"/>
            </w:pPr>
            <w:r w:rsidRPr="5EBFC3C0" w:rsidR="5EBFC3C0">
              <w:rPr>
                <w:rFonts w:ascii="Calibri" w:hAnsi="Calibri" w:eastAsia="Calibri" w:cs="Calibri"/>
                <w:color w:val="333333"/>
                <w:sz w:val="22"/>
                <w:szCs w:val="22"/>
                <w:lang w:val="en-US"/>
              </w:rPr>
              <w:t>A Fase 1 está bem resolvida e o código da Fase 3 é sólido — mas a Fase 2 praticamente não foi executada, e é ela que sustenta um quarto da nota.</w:t>
            </w:r>
          </w:p>
          <w:p w14:paraId="4FC6F161" wp14:textId="6AEAF383">
            <w:pPr>
              <w:spacing w:after="0" w:line="264" w:lineRule="auto"/>
              <w:jc w:val="both"/>
            </w:pPr>
            <w:r w:rsidRPr="5EBFC3C0" w:rsidR="5EBFC3C0">
              <w:rPr>
                <w:rFonts w:ascii="Calibri" w:hAnsi="Calibri" w:eastAsia="Calibri" w:cs="Calibri"/>
                <w:color w:val="333333"/>
                <w:sz w:val="22"/>
                <w:szCs w:val="22"/>
                <w:lang w:val="en-US"/>
              </w:rPr>
              <w:t>Duas correções pequenas elevariam a nota para 7,12: mover um único arquivo de pasta resolve os critérios C10 e C11 ao mesmo tempo. Refeita a Fase 2, a nota chegaria a 8,28.</w:t>
            </w:r>
          </w:p>
        </w:tc>
      </w:tr>
    </w:tbl>
    <w:p xmlns:wp14="http://schemas.microsoft.com/office/word/2010/wordml" w:rsidP="5EBFC3C0" w14:paraId="16DF1158" wp14:textId="77777777">
      <w:pPr>
        <w:pStyle w:val="Heading1"/>
        <w:pBdr>
          <w:bottom w:val="single" w:color="FFDA1A" w:sz="8" w:space="6"/>
        </w:pBdr>
        <w:spacing w:before="360" w:after="200"/>
      </w:pPr>
      <w:r w:rsidRPr="5EBFC3C0" w:rsidR="5EBFC3C0">
        <w:rPr>
          <w:rFonts w:ascii="Calibri" w:hAnsi="Calibri" w:eastAsia="Calibri" w:cs="Calibri"/>
          <w:b w:val="1"/>
          <w:bCs w:val="1"/>
          <w:color w:val="00695F"/>
          <w:sz w:val="32"/>
          <w:szCs w:val="32"/>
          <w:lang w:val="en-US"/>
        </w:rPr>
        <w:t>1. Triagem — os seis cortes</w:t>
      </w:r>
    </w:p>
    <w:tbl>
      <w:tblPr>
        <w:tblW w:w="9360" w:type="dxa"/>
        <w:tblBorders>
          <w:top w:val="single" w:color="C9D6D4" w:sz="4"/>
          <w:left w:val="single" w:color="C9D6D4" w:sz="4"/>
          <w:bottom w:val="single" w:color="C9D6D4" w:sz="4"/>
          <w:right w:val="single" w:color="C9D6D4" w:sz="4"/>
          <w:insideH w:val="single" w:color="C9D6D4" w:sz="4"/>
          <w:insideV w:val="single" w:color="C9D6D4" w:sz="4"/>
        </w:tblBorders>
      </w:tblPr>
      <w:tblGrid>
        <w:gridCol w:w="600"/>
        <w:gridCol w:w="1400"/>
        <w:gridCol w:w="1500"/>
        <w:gridCol w:w="5860"/>
      </w:tblGrid>
      <w:tr xmlns:wp14="http://schemas.microsoft.com/office/word/2010/wordml" w:rsidTr="5EBFC3C0" w14:paraId="34ED7CB5" wp14:textId="77777777">
        <w:trPr>
          <w:tblHeader/>
        </w:trPr>
        <w:tc>
          <w:tcPr>
            <w:tcW w:w="600" w:type="dxa"/>
            <w:shd w:val="clear" w:color="auto" w:fill="00A59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859D64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w="1400" w:type="dxa"/>
            <w:shd w:val="clear" w:color="auto" w:fill="00A59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189069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Corte</w:t>
            </w:r>
          </w:p>
        </w:tc>
        <w:tc>
          <w:tcPr>
            <w:tcW w:w="1500" w:type="dxa"/>
            <w:shd w:val="clear" w:color="auto" w:fill="00A59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03EAD4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1"/>
                <w:bCs w:val="1"/>
                <w:color w:val="FFFFFF"/>
                <w:sz w:val="20"/>
                <w:szCs w:val="20"/>
                <w:lang w:val="en-US"/>
              </w:rPr>
              <w:t>Resultado</w:t>
            </w:r>
          </w:p>
        </w:tc>
        <w:tc>
          <w:tcPr>
            <w:tcW w:w="5860" w:type="dxa"/>
            <w:shd w:val="clear" w:color="auto" w:fill="00A59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5FEE59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1"/>
                <w:bCs w:val="1"/>
                <w:color w:val="FFFFFF"/>
                <w:sz w:val="20"/>
                <w:szCs w:val="20"/>
                <w:lang w:val="en-US"/>
              </w:rPr>
              <w:t>Evidência</w:t>
            </w:r>
          </w:p>
        </w:tc>
      </w:tr>
      <w:tr xmlns:wp14="http://schemas.microsoft.com/office/word/2010/wordml" w:rsidTr="5EBFC3C0" w14:paraId="5DD4E8E8" wp14:textId="77777777">
        <w:tc>
          <w:tcPr>
            <w:tcW w:w="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BEC817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20"/>
                <w:szCs w:val="20"/>
              </w:rPr>
              <w:t xml:space="preserve">T1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320D8A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Origem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B0B196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Com ressalva</w:t>
            </w:r>
          </w:p>
        </w:tc>
        <w:tc>
          <w:tcPr>
            <w:tcW w:w="5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CC11C8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As fichas de requisito têm a coluna de critério do termo, e o contexto cita Kaspersky e Banco Central com período declarado. O roteiro de entrevista, porém, contém apenas as perguntas: não há respostas registradas, data nem identificação do entrevistado</w:t>
            </w:r>
          </w:p>
        </w:tc>
      </w:tr>
      <w:tr xmlns:wp14="http://schemas.microsoft.com/office/word/2010/wordml" w:rsidTr="5EBFC3C0" w14:paraId="05F05FEE" wp14:textId="77777777">
        <w:tc>
          <w:tcPr>
            <w:tcW w:w="6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3E576C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20"/>
                <w:szCs w:val="20"/>
              </w:rPr>
              <w:t xml:space="preserve">T2</w:t>
            </w:r>
          </w:p>
        </w:tc>
        <w:tc>
          <w:tcPr>
            <w:tcW w:w="14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2ADDA2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Objetivo</w:t>
            </w:r>
          </w:p>
        </w:tc>
        <w:tc>
          <w:tcPr>
            <w:tcW w:w="15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0C8224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333333"/>
                <w:sz w:val="20"/>
                <w:szCs w:val="20"/>
              </w:rPr>
              <w:t xml:space="preserve">Atendido</w:t>
            </w:r>
          </w:p>
        </w:tc>
        <w:tc>
          <w:tcPr>
            <w:tcW w:w="586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CC3BF1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Frase única, verificável, sem tecnologia</w:t>
            </w:r>
          </w:p>
        </w:tc>
      </w:tr>
      <w:tr xmlns:wp14="http://schemas.microsoft.com/office/word/2010/wordml" w:rsidTr="5EBFC3C0" w14:paraId="46294A78" wp14:textId="77777777">
        <w:tc>
          <w:tcPr>
            <w:tcW w:w="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94AB24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20"/>
                <w:szCs w:val="20"/>
              </w:rPr>
              <w:t xml:space="preserve">T3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12749C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Escopo excluído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78DFC4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333333"/>
                <w:sz w:val="20"/>
                <w:szCs w:val="20"/>
              </w:rPr>
              <w:t xml:space="preserve">Atendido</w:t>
            </w:r>
          </w:p>
        </w:tc>
        <w:tc>
          <w:tcPr>
            <w:tcW w:w="5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9473AB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Três itens, cada um com razão desenvolvida</w:t>
            </w:r>
          </w:p>
        </w:tc>
      </w:tr>
      <w:tr xmlns:wp14="http://schemas.microsoft.com/office/word/2010/wordml" w:rsidTr="5EBFC3C0" w14:paraId="747DCE5D" wp14:textId="77777777">
        <w:tc>
          <w:tcPr>
            <w:tcW w:w="6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F9BD6B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20"/>
                <w:szCs w:val="20"/>
              </w:rPr>
              <w:t xml:space="preserve">T4</w:t>
            </w:r>
          </w:p>
        </w:tc>
        <w:tc>
          <w:tcPr>
            <w:tcW w:w="14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9FAE02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Critérios</w:t>
            </w:r>
          </w:p>
        </w:tc>
        <w:tc>
          <w:tcPr>
            <w:tcW w:w="15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70C927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333333"/>
                <w:sz w:val="20"/>
                <w:szCs w:val="20"/>
              </w:rPr>
              <w:t xml:space="preserve">Atendido</w:t>
            </w:r>
          </w:p>
        </w:tc>
        <w:tc>
          <w:tcPr>
            <w:tcW w:w="586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4DD8BF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Sete critérios com forma de verificação; o CA-07 declara tempo de 10 segundos</w:t>
            </w:r>
          </w:p>
        </w:tc>
      </w:tr>
      <w:tr xmlns:wp14="http://schemas.microsoft.com/office/word/2010/wordml" w:rsidTr="5EBFC3C0" w14:paraId="1E842F06" wp14:textId="77777777">
        <w:tc>
          <w:tcPr>
            <w:tcW w:w="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A0E877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20"/>
                <w:szCs w:val="20"/>
              </w:rPr>
              <w:t xml:space="preserve">T5</w:t>
            </w:r>
          </w:p>
        </w:tc>
        <w:tc>
          <w:tcPr>
            <w:tcW w:w="1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DD7C70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333333"/>
                <w:sz w:val="20"/>
                <w:szCs w:val="20"/>
              </w:rPr>
              <w:t xml:space="preserve">Volume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197F61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Negativo</w:t>
            </w:r>
          </w:p>
        </w:tc>
        <w:tc>
          <w:tcPr>
            <w:tcW w:w="5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4B53E3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Nenhuma coleção tem volume estimado. A seção 2.4 do documento de arquitetura lista três entidades e a operação de cada uma, mas sem número</w:t>
            </w:r>
          </w:p>
        </w:tc>
      </w:tr>
      <w:tr xmlns:wp14="http://schemas.microsoft.com/office/word/2010/wordml" w:rsidTr="5EBFC3C0" w14:paraId="516EA703" wp14:textId="77777777">
        <w:tc>
          <w:tcPr>
            <w:tcW w:w="6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386E63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20"/>
                <w:szCs w:val="20"/>
              </w:rPr>
              <w:t xml:space="preserve">T6</w:t>
            </w:r>
          </w:p>
        </w:tc>
        <w:tc>
          <w:tcPr>
            <w:tcW w:w="14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7F0AD9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Dependência</w:t>
            </w:r>
          </w:p>
        </w:tc>
        <w:tc>
          <w:tcPr>
            <w:tcW w:w="15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BFFCA2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Negativo</w:t>
            </w:r>
          </w:p>
        </w:tc>
        <w:tc>
          <w:tcPr>
            <w:tcW w:w="586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F8FB1C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Domain/EmailAnalist.cs declara using DetectorPhishing.Infrastructure. O domínio importa a camada de infraestrutura</w:t>
            </w:r>
          </w:p>
        </w:tc>
      </w:tr>
    </w:tbl>
    <w:tbl>
      <w:tblPr>
        <w:tblW w:w="9360" w:type="dxa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EBFC3C0" w14:paraId="750FD39F" wp14:textId="77777777">
        <w:tc>
          <w:tcPr>
            <w:tcW w:w="9360" w:type="dxa"/>
            <w:shd w:val="clear" w:color="auto" w:fill="16302E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73459EDD" wp14:textId="77777777">
            <w:pPr>
              <w:spacing w:after="0" w:line="225" w:lineRule="auto"/>
            </w:pPr>
            <w:r w:rsidRPr="5EBFC3C0" w:rsidR="5EBFC3C0">
              <w:rPr>
                <w:rFonts w:ascii="Consolas" w:hAnsi="Consolas" w:eastAsia="Consolas" w:cs="Consolas"/>
                <w:color w:val="E8F4F2"/>
                <w:sz w:val="16"/>
                <w:szCs w:val="16"/>
                <w:lang w:val="en-US"/>
              </w:rPr>
              <w:t>$ grep -n "^using" DetectorPhishing/Domain/*.cs</w:t>
            </w:r>
          </w:p>
          <w:p w14:paraId="23755375" wp14:textId="77777777">
            <w:pPr>
              <w:spacing w:after="0" w:line="225" w:lineRule="auto"/>
            </w:pPr>
            <w:r w:rsidRPr="5EBFC3C0" w:rsidR="5EBFC3C0">
              <w:rPr>
                <w:rFonts w:ascii="Consolas" w:hAnsi="Consolas" w:eastAsia="Consolas" w:cs="Consolas"/>
                <w:color w:val="E8F4F2"/>
                <w:sz w:val="16"/>
                <w:szCs w:val="16"/>
                <w:lang w:val="en-US"/>
              </w:rPr>
              <w:t>Domain/EmailAnalist.cs:1:using DetectorPhishing.Infrastructure;</w:t>
            </w:r>
          </w:p>
          <w:p w14:paraId="29D6B04F" wp14:textId="77777777">
            <w:pPr>
              <w:spacing w:after="0" w:line="225"/>
            </w:pPr>
            <w:r>
              <w:rPr>
                <w:rFonts w:ascii="Consolas" w:hAnsi="Consolas" w:eastAsia="Consolas" w:cs="Consolas"/>
                <w:color w:val="E8F4F2"/>
                <w:sz w:val="16"/>
                <w:szCs w:val="16"/>
              </w:rPr>
              <w:t xml:space="preserve"> </w:t>
            </w:r>
          </w:p>
          <w:p w14:paraId="175A8E3C" wp14:textId="77777777">
            <w:pPr>
              <w:spacing w:after="0" w:line="225" w:lineRule="auto"/>
            </w:pPr>
            <w:r w:rsidRPr="5EBFC3C0" w:rsidR="5EBFC3C0">
              <w:rPr>
                <w:rFonts w:ascii="Consolas" w:hAnsi="Consolas" w:eastAsia="Consolas" w:cs="Consolas"/>
                <w:color w:val="E8F4F2"/>
                <w:sz w:val="16"/>
                <w:szCs w:val="16"/>
                <w:lang w:val="en-US"/>
              </w:rPr>
              <w:t>$ head -1 DetectorPhishing/Infrastructure/IConsulta.cs</w:t>
            </w:r>
          </w:p>
          <w:p w14:paraId="502FAE73" wp14:textId="77777777">
            <w:pPr>
              <w:spacing w:after="0" w:line="225" w:lineRule="auto"/>
            </w:pPr>
            <w:r w:rsidRPr="5EBFC3C0" w:rsidR="5EBFC3C0">
              <w:rPr>
                <w:rFonts w:ascii="Consolas" w:hAnsi="Consolas" w:eastAsia="Consolas" w:cs="Consolas"/>
                <w:color w:val="E8F4F2"/>
                <w:sz w:val="16"/>
                <w:szCs w:val="16"/>
                <w:lang w:val="en-US"/>
              </w:rPr>
              <w:t>namespace DetectorPhishing.Infrastructure;</w:t>
            </w:r>
          </w:p>
        </w:tc>
      </w:tr>
    </w:tbl>
    <w:p xmlns:wp14="http://schemas.microsoft.com/office/word/2010/wordml" w14:paraId="775E18F5" wp14:textId="77777777">
      <w:pPr>
        <w:spacing w:before="60" w:after="200"/>
      </w:pPr>
      <w:r w:rsidRPr="5EBFC3C0" w:rsidR="5EBFC3C0">
        <w:rPr>
          <w:rFonts w:ascii="Calibri" w:hAnsi="Calibri" w:eastAsia="Calibri" w:cs="Calibri"/>
          <w:color w:val="5A5A5A"/>
          <w:sz w:val="17"/>
          <w:szCs w:val="17"/>
          <w:lang w:val="en-US"/>
        </w:rPr>
        <w:t>Verificação executada sobre o repositório TCC-Aplicativo-de-Detect-de-Tentativas-de-Phishing, 10 commits.</w:t>
      </w:r>
    </w:p>
    <w:p xmlns:wp14="http://schemas.microsoft.com/office/word/2010/wordml" w14:paraId="5DAB6C7B" wp14:textId="77777777">
      <w:r>
        <w:br w:type="page"/>
      </w:r>
    </w:p>
    <w:p xmlns:wp14="http://schemas.microsoft.com/office/word/2010/wordml" w:rsidP="5EBFC3C0" w14:paraId="59455511" wp14:textId="77777777">
      <w:pPr>
        <w:pStyle w:val="Heading1"/>
        <w:pBdr>
          <w:bottom w:val="single" w:color="FFDA1A" w:sz="8" w:space="6"/>
        </w:pBdr>
        <w:spacing w:before="360" w:after="200"/>
      </w:pPr>
      <w:r w:rsidRPr="5EBFC3C0" w:rsidR="5EBFC3C0">
        <w:rPr>
          <w:rFonts w:ascii="Calibri" w:hAnsi="Calibri" w:eastAsia="Calibri" w:cs="Calibri"/>
          <w:b w:val="1"/>
          <w:bCs w:val="1"/>
          <w:color w:val="00695F"/>
          <w:sz w:val="32"/>
          <w:szCs w:val="32"/>
          <w:lang w:val="en-US"/>
        </w:rPr>
        <w:t>2. O que está acima do esperado</w:t>
      </w:r>
    </w:p>
    <w:tbl>
      <w:tblPr>
        <w:tblW w:w="9045" w:type="dxa"/>
        <w:tblBorders>
          <w:top w:val="single" w:color="00A59A" w:sz="4"/>
          <w:left w:val="single" w:color="00A59A" w:sz="18"/>
          <w:bottom w:val="single" w:color="00A59A" w:sz="4"/>
          <w:right w:val="single" w:color="00A59A" w:sz="4"/>
          <w:insideH w:val="single" w:color="auto" w:sz="4"/>
          <w:insideV w:val="single" w:color="auto" w:sz="4"/>
        </w:tblBorders>
      </w:tblPr>
      <w:tblGrid>
        <w:gridCol w:w="9045"/>
      </w:tblGrid>
      <w:tr xmlns:wp14="http://schemas.microsoft.com/office/word/2010/wordml" w:rsidTr="5EBFC3C0" w14:paraId="51F9DDF8" wp14:textId="77777777">
        <w:trPr>
          <w:cantSplit/>
        </w:trPr>
        <w:tc>
          <w:tcPr>
            <w:tcW w:w="9045" w:type="dxa"/>
            <w:shd w:val="clear" w:color="auto" w:fill="E4F4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8EBC137" wp14:textId="77777777">
            <w:pPr>
              <w:spacing w:after="90"/>
            </w:pPr>
            <w:r w:rsidRPr="5EBFC3C0" w:rsidR="5EBFC3C0">
              <w:rPr>
                <w:rFonts w:ascii="Calibri" w:hAnsi="Calibri" w:eastAsia="Calibri" w:cs="Calibri"/>
                <w:b w:val="1"/>
                <w:bCs w:val="1"/>
                <w:color w:val="00695F"/>
                <w:sz w:val="21"/>
                <w:szCs w:val="21"/>
                <w:lang w:val="en-US"/>
              </w:rPr>
              <w:t>Quatro pontos que merecem registro</w:t>
            </w:r>
          </w:p>
          <w:p w14:paraId="46674341" wp14:textId="0ABEA9EC">
            <w:pPr>
              <w:spacing w:after="70" w:line="264" w:lineRule="auto"/>
              <w:jc w:val="both"/>
            </w:pPr>
            <w:r w:rsidRPr="5EBFC3C0" w:rsidR="5EBFC3C0">
              <w:rPr>
                <w:rFonts w:ascii="Calibri" w:hAnsi="Calibri" w:eastAsia="Calibri" w:cs="Calibri"/>
                <w:color w:val="333333"/>
                <w:sz w:val="22"/>
                <w:szCs w:val="22"/>
                <w:lang w:val="pt-BR"/>
              </w:rPr>
              <w:t>O contexto do termo é bem montado. Kaspersky com período declarado — 553 milhões de tentativas entre julho de 2024 e julho de 2025 —, pesquisa citada pelo Banco Central com 10% de vítimas, e o relatório KnowBe4 acompanhado da ressalva de que é referência analógica e não métrica de usuário doméstico. Essa ressalva é rara e é exatamente o que separa dado de enfeite.</w:t>
            </w:r>
          </w:p>
          <w:p w14:paraId="6F1684F1" wp14:textId="77777777">
            <w:pPr>
              <w:spacing w:after="70" w:line="264" w:lineRule="auto"/>
              <w:jc w:val="both"/>
            </w:pPr>
            <w:r w:rsidRPr="5EBFC3C0" w:rsidR="5EBFC3C0">
              <w:rPr>
                <w:rFonts w:ascii="Calibri" w:hAnsi="Calibri" w:eastAsia="Calibri" w:cs="Calibri"/>
                <w:color w:val="333333"/>
                <w:sz w:val="22"/>
                <w:szCs w:val="22"/>
                <w:lang w:val="en-US"/>
              </w:rPr>
              <w:t>A seção 9 do Documento de Requisitos registra duas divergências entre o termo e a arquitetura real, em vez de escondê-las. Reconhecer que o CA-06 pressupunha senha de aplicativo enquanto a arquitetura adotou OAuth2, e que isso é mudança de especificação e não de redação, é a postura que a rubrica da defesa premia.</w:t>
            </w:r>
          </w:p>
          <w:p w14:paraId="178A86E5" wp14:textId="77777777">
            <w:pPr>
              <w:spacing w:after="70" w:line="264" w:lineRule="auto"/>
              <w:jc w:val="both"/>
            </w:pPr>
            <w:r w:rsidRPr="5EBFC3C0" w:rsidR="5EBFC3C0">
              <w:rPr>
                <w:rFonts w:ascii="Calibri" w:hAnsi="Calibri" w:eastAsia="Calibri" w:cs="Calibri"/>
                <w:color w:val="333333"/>
                <w:sz w:val="22"/>
                <w:szCs w:val="22"/>
                <w:lang w:val="en-US"/>
              </w:rPr>
              <w:t>O registro de decisões arquiteturais em documento separado, com cinco ADRs, não foi pedido e existe. Mesma observação para o padrão de codificação em seis seções, com checklist de auto-revisão.</w:t>
            </w:r>
          </w:p>
          <w:p w14:paraId="4FE7A73A" wp14:textId="77777777">
            <w:pPr>
              <w:spacing w:after="0" w:line="264" w:lineRule="auto"/>
              <w:jc w:val="both"/>
            </w:pPr>
            <w:r w:rsidRPr="5EBFC3C0" w:rsidR="5EBFC3C0">
              <w:rPr>
                <w:rFonts w:ascii="Calibri" w:hAnsi="Calibri" w:eastAsia="Calibri" w:cs="Calibri"/>
                <w:color w:val="333333"/>
                <w:sz w:val="22"/>
                <w:szCs w:val="22"/>
                <w:lang w:val="en-US"/>
              </w:rPr>
              <w:t>A suíte de testes tem doze casos com dois dublês distintos — um configurável por cenário e um com dados fixos. O Program.cs implementa um executor próprio por reflexão, documentado, que devolve código de saída. Rodar sem MongoDB e sem rede é exatamente o que o C12 exige.</w:t>
            </w:r>
          </w:p>
        </w:tc>
      </w:tr>
    </w:tbl>
    <w:p xmlns:wp14="http://schemas.microsoft.com/office/word/2010/wordml" w14:paraId="70C90486" wp14:textId="77C9E563">
      <w:pPr>
        <w:spacing w:after="160" w:line="276" w:lineRule="auto"/>
        <w:jc w:val="both"/>
      </w:pPr>
      <w:r w:rsidRPr="5EBFC3C0" w:rsidR="5EBFC3C0">
        <w:rPr>
          <w:rFonts w:ascii="Calibri" w:hAnsi="Calibri" w:eastAsia="Calibri" w:cs="Calibri"/>
          <w:color w:val="333333"/>
          <w:sz w:val="22"/>
          <w:szCs w:val="22"/>
          <w:lang w:val="pt-BR"/>
        </w:rPr>
        <w:t xml:space="preserve">Portei a lógica do </w:t>
      </w:r>
      <w:r w:rsidRPr="5EBFC3C0" w:rsidR="5EBFC3C0">
        <w:rPr>
          <w:rFonts w:ascii="Calibri" w:hAnsi="Calibri" w:eastAsia="Calibri" w:cs="Calibri"/>
          <w:color w:val="333333"/>
          <w:sz w:val="22"/>
          <w:szCs w:val="22"/>
          <w:lang w:val="pt-BR"/>
        </w:rPr>
        <w:t>EmailAnalist</w:t>
      </w:r>
      <w:r w:rsidRPr="5EBFC3C0" w:rsidR="5EBFC3C0">
        <w:rPr>
          <w:rFonts w:ascii="Calibri" w:hAnsi="Calibri" w:eastAsia="Calibri" w:cs="Calibri"/>
          <w:color w:val="333333"/>
          <w:sz w:val="22"/>
          <w:szCs w:val="22"/>
          <w:lang w:val="pt-BR"/>
        </w:rPr>
        <w:t xml:space="preserve"> para verificar os doze cenários. Os doze conferem com o comportamento esperado, incluindo o caso de subdomínio do domínio oficial, que é o mais sutil deles.</w:t>
      </w:r>
    </w:p>
    <w:p xmlns:wp14="http://schemas.microsoft.com/office/word/2010/wordml" w14:paraId="02EB378F" wp14:textId="77777777">
      <w:r>
        <w:br w:type="page"/>
      </w:r>
    </w:p>
    <w:p xmlns:wp14="http://schemas.microsoft.com/office/word/2010/wordml" w:rsidP="5EBFC3C0" w14:paraId="34F9F666" wp14:textId="77777777">
      <w:pPr>
        <w:pStyle w:val="Heading1"/>
        <w:pBdr>
          <w:bottom w:val="single" w:color="FFDA1A" w:sz="8" w:space="6"/>
        </w:pBdr>
        <w:spacing w:before="360" w:after="200"/>
      </w:pPr>
      <w:r w:rsidRPr="5EBFC3C0" w:rsidR="5EBFC3C0">
        <w:rPr>
          <w:rFonts w:ascii="Calibri" w:hAnsi="Calibri" w:eastAsia="Calibri" w:cs="Calibri"/>
          <w:b w:val="1"/>
          <w:bCs w:val="1"/>
          <w:color w:val="00695F"/>
          <w:sz w:val="32"/>
          <w:szCs w:val="32"/>
          <w:lang w:val="en-US"/>
        </w:rPr>
        <w:t>3. O achado principal — um arquivo na pasta errada</w:t>
      </w:r>
    </w:p>
    <w:p xmlns:wp14="http://schemas.microsoft.com/office/word/2010/wordml" w14:paraId="11F6D992" wp14:textId="77777777">
      <w:pPr>
        <w:spacing w:after="140" w:line="276" w:lineRule="auto"/>
        <w:jc w:val="both"/>
      </w:pPr>
      <w:r w:rsidRPr="5EBFC3C0" w:rsidR="5EBFC3C0">
        <w:rPr>
          <w:rFonts w:ascii="Calibri" w:hAnsi="Calibri" w:eastAsia="Calibri" w:cs="Calibri"/>
          <w:color w:val="333333"/>
          <w:sz w:val="22"/>
          <w:szCs w:val="22"/>
          <w:lang w:val="en-US"/>
        </w:rPr>
        <w:t>A interface IConsulta está em Infrastructure, e o próprio comentário dela diz o contrário.</w:t>
      </w:r>
    </w:p>
    <w:tbl>
      <w:tblPr>
        <w:tblW w:w="9360" w:type="dxa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EBFC3C0" w14:paraId="0F888AD3" wp14:textId="77777777">
        <w:tc>
          <w:tcPr>
            <w:tcW w:w="9360" w:type="dxa"/>
            <w:shd w:val="clear" w:color="auto" w:fill="16302E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29C178A3" wp14:textId="77777777">
            <w:pPr>
              <w:spacing w:after="0" w:line="225" w:lineRule="auto"/>
            </w:pPr>
            <w:r w:rsidRPr="5EBFC3C0" w:rsidR="5EBFC3C0">
              <w:rPr>
                <w:rFonts w:ascii="Consolas" w:hAnsi="Consolas" w:eastAsia="Consolas" w:cs="Consolas"/>
                <w:color w:val="E8F4F2"/>
                <w:sz w:val="16"/>
                <w:szCs w:val="16"/>
                <w:lang w:val="en-US"/>
              </w:rPr>
              <w:t>// Infrastructure/IConsulta.cs</w:t>
            </w:r>
          </w:p>
          <w:p w14:paraId="776D8F36" wp14:textId="77777777">
            <w:pPr>
              <w:spacing w:after="0" w:line="225" w:lineRule="auto"/>
            </w:pPr>
            <w:r w:rsidRPr="5EBFC3C0" w:rsidR="5EBFC3C0">
              <w:rPr>
                <w:rFonts w:ascii="Consolas" w:hAnsi="Consolas" w:eastAsia="Consolas" w:cs="Consolas"/>
                <w:color w:val="E8F4F2"/>
                <w:sz w:val="16"/>
                <w:szCs w:val="16"/>
                <w:lang w:val="en-US"/>
              </w:rPr>
              <w:t>namespace DetectorPhishing.Infrastructure;</w:t>
            </w:r>
          </w:p>
          <w:p w14:paraId="0A6959E7" wp14:textId="77777777">
            <w:pPr>
              <w:spacing w:after="0" w:line="225"/>
            </w:pPr>
            <w:r>
              <w:rPr>
                <w:rFonts w:ascii="Consolas" w:hAnsi="Consolas" w:eastAsia="Consolas" w:cs="Consolas"/>
                <w:color w:val="E8F4F2"/>
                <w:sz w:val="16"/>
                <w:szCs w:val="16"/>
              </w:rPr>
              <w:t xml:space="preserve"> </w:t>
            </w:r>
          </w:p>
          <w:p w14:paraId="2EBFA44C" wp14:textId="77777777">
            <w:pPr>
              <w:spacing w:after="0" w:line="225"/>
            </w:pPr>
            <w:r>
              <w:rPr>
                <w:rFonts w:ascii="Consolas" w:hAnsi="Consolas" w:eastAsia="Consolas" w:cs="Consolas"/>
                <w:color w:val="E8F4F2"/>
                <w:sz w:val="16"/>
                <w:szCs w:val="16"/>
              </w:rPr>
              <w:t xml:space="preserve">/// &lt;summary&gt;</w:t>
            </w:r>
          </w:p>
          <w:p w14:paraId="006E9548" wp14:textId="77777777">
            <w:pPr>
              <w:spacing w:after="0" w:line="225" w:lineRule="auto"/>
            </w:pPr>
            <w:r w:rsidRPr="5EBFC3C0" w:rsidR="5EBFC3C0">
              <w:rPr>
                <w:rFonts w:ascii="Consolas" w:hAnsi="Consolas" w:eastAsia="Consolas" w:cs="Consolas"/>
                <w:color w:val="E8F4F2"/>
                <w:sz w:val="16"/>
                <w:szCs w:val="16"/>
                <w:lang w:val="en-US"/>
              </w:rPr>
              <w:t>/// Interface entre a regra de negocio (EmailAnalist) e a implementacao</w:t>
            </w:r>
          </w:p>
          <w:p w14:paraId="20D7BDCB" wp14:textId="77777777">
            <w:pPr>
              <w:spacing w:after="0" w:line="225" w:lineRule="auto"/>
            </w:pPr>
            <w:r w:rsidRPr="5EBFC3C0" w:rsidR="5EBFC3C0">
              <w:rPr>
                <w:rFonts w:ascii="Consolas" w:hAnsi="Consolas" w:eastAsia="Consolas" w:cs="Consolas"/>
                <w:color w:val="E8F4F2"/>
                <w:sz w:val="16"/>
                <w:szCs w:val="16"/>
                <w:lang w:val="en-US"/>
              </w:rPr>
              <w:t>/// solida de acesso a dados (MongoDBInterface, em Infrastructure).</w:t>
            </w:r>
          </w:p>
          <w:p w14:paraId="380E6F61" wp14:textId="77777777">
            <w:pPr>
              <w:spacing w:after="0" w:line="225" w:lineRule="auto"/>
            </w:pPr>
            <w:r w:rsidRPr="5EBFC3C0" w:rsidR="5EBFC3C0">
              <w:rPr>
                <w:rFonts w:ascii="Consolas" w:hAnsi="Consolas" w:eastAsia="Consolas" w:cs="Consolas"/>
                <w:color w:val="E8F4F2"/>
                <w:sz w:val="16"/>
                <w:szCs w:val="16"/>
                <w:lang w:val="en-US"/>
              </w:rPr>
              <w:t>/// Declarada no Domain por inversao de dependencia (ADR 0005 / padrao</w:t>
            </w:r>
          </w:p>
          <w:p w14:paraId="112443D0" wp14:textId="77777777">
            <w:pPr>
              <w:spacing w:after="0" w:line="225" w:lineRule="auto"/>
            </w:pPr>
            <w:r w:rsidRPr="5EBFC3C0" w:rsidR="5EBFC3C0">
              <w:rPr>
                <w:rFonts w:ascii="Consolas" w:hAnsi="Consolas" w:eastAsia="Consolas" w:cs="Consolas"/>
                <w:color w:val="E8F4F2"/>
                <w:sz w:val="16"/>
                <w:szCs w:val="16"/>
                <w:lang w:val="en-US"/>
              </w:rPr>
              <w:t>/// de codificacao, secao 3-D).</w:t>
            </w:r>
          </w:p>
          <w:p w14:paraId="1D6B9364" wp14:textId="77777777">
            <w:pPr>
              <w:spacing w:after="0" w:line="225"/>
            </w:pPr>
            <w:r>
              <w:rPr>
                <w:rFonts w:ascii="Consolas" w:hAnsi="Consolas" w:eastAsia="Consolas" w:cs="Consolas"/>
                <w:color w:val="E8F4F2"/>
                <w:sz w:val="16"/>
                <w:szCs w:val="16"/>
              </w:rPr>
              <w:t xml:space="preserve">/// &lt;/summary&gt;</w:t>
            </w:r>
          </w:p>
          <w:p w14:paraId="4DC1553F" wp14:textId="77777777">
            <w:pPr>
              <w:spacing w:after="0" w:line="225" w:lineRule="auto"/>
            </w:pPr>
            <w:r w:rsidRPr="5EBFC3C0" w:rsidR="5EBFC3C0">
              <w:rPr>
                <w:rFonts w:ascii="Consolas" w:hAnsi="Consolas" w:eastAsia="Consolas" w:cs="Consolas"/>
                <w:color w:val="E8F4F2"/>
                <w:sz w:val="16"/>
                <w:szCs w:val="16"/>
                <w:lang w:val="en-US"/>
              </w:rPr>
              <w:t>public interface IConsulta { ... }</w:t>
            </w:r>
          </w:p>
        </w:tc>
      </w:tr>
    </w:tbl>
    <w:p xmlns:wp14="http://schemas.microsoft.com/office/word/2010/wordml" w14:paraId="7B41B018" wp14:textId="77777777">
      <w:pPr>
        <w:spacing w:before="60" w:after="200"/>
      </w:pPr>
      <w:r w:rsidRPr="5EBFC3C0" w:rsidR="5EBFC3C0">
        <w:rPr>
          <w:rFonts w:ascii="Calibri" w:hAnsi="Calibri" w:eastAsia="Calibri" w:cs="Calibri"/>
          <w:color w:val="5A5A5A"/>
          <w:sz w:val="17"/>
          <w:szCs w:val="17"/>
          <w:lang w:val="en-US"/>
        </w:rPr>
        <w:t>O comentário afirma que a interface está no Domain. O namespace, três linhas acima, diz Infrastructure.</w:t>
      </w:r>
    </w:p>
    <w:tbl>
      <w:tblPr>
        <w:tblW w:w="9360" w:type="dxa"/>
        <w:tblBorders>
          <w:top w:val="single" w:color="C0392B" w:sz="4"/>
          <w:left w:val="single" w:color="C0392B" w:sz="18"/>
          <w:bottom w:val="single" w:color="C0392B" w:sz="4"/>
          <w:right w:val="single" w:color="C0392B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EBFC3C0" w14:paraId="40337BAE" wp14:textId="77777777">
        <w:trPr>
          <w:cantSplit/>
        </w:trPr>
        <w:tc>
          <w:tcPr>
            <w:tcW w:w="9360" w:type="dxa"/>
            <w:shd w:val="clear" w:color="auto" w:fill="FBE9E7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3D64D27" wp14:textId="77777777">
            <w:pPr>
              <w:spacing w:after="90"/>
            </w:pPr>
            <w:r>
              <w:rPr>
                <w:rFonts w:ascii="Calibri" w:hAnsi="Calibri" w:eastAsia="Calibri" w:cs="Calibri"/>
                <w:b/>
                <w:bCs/>
                <w:color w:val="9C2B1E"/>
                <w:sz w:val="21"/>
                <w:szCs w:val="21"/>
              </w:rPr>
              <w:t xml:space="preserve">Por que isso custa dois critérios de uma vez</w:t>
            </w:r>
          </w:p>
          <w:p w14:paraId="7EB9EF7C" wp14:textId="77777777">
            <w:pPr>
              <w:spacing w:after="70" w:line="264"/>
              <w:jc w:val="both"/>
            </w:pPr>
            <w:r>
              <w:rPr>
                <w:rFonts w:ascii="Calibri" w:hAnsi="Calibri" w:eastAsia="Calibri" w:cs="Calibri"/>
                <w:color w:val="333333"/>
                <w:sz w:val="22"/>
                <w:szCs w:val="22"/>
              </w:rPr>
              <w:t xml:space="preserve">O C11 verifica se a interface de repositório está declarada no domínio. Ela não está — está na camada que deveria implementá-la.</w:t>
            </w:r>
          </w:p>
          <w:p w14:paraId="44A70055" wp14:textId="77777777">
            <w:pPr>
              <w:spacing w:after="70" w:line="264" w:lineRule="auto"/>
              <w:jc w:val="both"/>
            </w:pPr>
            <w:r w:rsidRPr="5EBFC3C0" w:rsidR="5EBFC3C0">
              <w:rPr>
                <w:rFonts w:ascii="Calibri" w:hAnsi="Calibri" w:eastAsia="Calibri" w:cs="Calibri"/>
                <w:color w:val="333333"/>
                <w:sz w:val="22"/>
                <w:szCs w:val="22"/>
                <w:lang w:val="pt-BR"/>
              </w:rPr>
              <w:t>O C10 verifica se o domínio importa algo de infraestrutura. Como a interface mora lá, EmailAnalist.cs precisa importar o pacote inteiro para conhecê-la. É a dependência invertida acontecendo na prática.</w:t>
            </w:r>
          </w:p>
          <w:p w14:paraId="12DD99F7" wp14:textId="77777777">
            <w:pPr>
              <w:spacing w:after="0" w:line="264" w:lineRule="auto"/>
              <w:jc w:val="both"/>
            </w:pPr>
            <w:r w:rsidRPr="5EBFC3C0" w:rsidR="5EBFC3C0">
              <w:rPr>
                <w:rFonts w:ascii="Calibri" w:hAnsi="Calibri" w:eastAsia="Calibri" w:cs="Calibri"/>
                <w:color w:val="333333"/>
                <w:sz w:val="22"/>
                <w:szCs w:val="22"/>
                <w:lang w:val="pt-BR"/>
              </w:rPr>
              <w:t>O desenho está certo: o EmailAnalist depende de IConsulta e nunca da MongoDBInterface, exatamente como o comentário descreve e como a ADR 0005 estabelece. O erro é de localização de arquivo, não de arquitetura.</w:t>
            </w:r>
          </w:p>
        </w:tc>
      </w:tr>
    </w:tbl>
    <w:tbl>
      <w:tblPr>
        <w:tblW w:w="9360" w:type="dxa"/>
        <w:tblBorders>
          <w:top w:val="single" w:color="FFC000" w:sz="4"/>
          <w:left w:val="single" w:color="FFC000" w:sz="18"/>
          <w:bottom w:val="single" w:color="FFC000" w:sz="4"/>
          <w:right w:val="single" w:color="FFC000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EBFC3C0" w14:paraId="268BAECB" wp14:textId="77777777">
        <w:trPr>
          <w:cantSplit/>
        </w:trPr>
        <w:tc>
          <w:tcPr>
            <w:tcW w:w="9360" w:type="dxa"/>
            <w:shd w:val="clear" w:color="auto" w:fill="FFF8D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ECD637D" wp14:textId="77777777">
            <w:pPr>
              <w:spacing w:after="90"/>
            </w:pPr>
            <w:r w:rsidRPr="5EBFC3C0" w:rsidR="5EBFC3C0">
              <w:rPr>
                <w:rFonts w:ascii="Calibri" w:hAnsi="Calibri" w:eastAsia="Calibri" w:cs="Calibri"/>
                <w:b w:val="1"/>
                <w:bCs w:val="1"/>
                <w:color w:val="8A6D00"/>
                <w:sz w:val="21"/>
                <w:szCs w:val="21"/>
                <w:lang w:val="en-US"/>
              </w:rPr>
              <w:t>A correção</w:t>
            </w:r>
          </w:p>
          <w:p w14:paraId="44BA3574" wp14:textId="77777777">
            <w:pPr>
              <w:spacing w:after="70" w:line="264" w:lineRule="auto"/>
              <w:jc w:val="both"/>
            </w:pPr>
            <w:r w:rsidRPr="5EBFC3C0" w:rsidR="5EBFC3C0">
              <w:rPr>
                <w:rFonts w:ascii="Calibri" w:hAnsi="Calibri" w:eastAsia="Calibri" w:cs="Calibri"/>
                <w:color w:val="333333"/>
                <w:sz w:val="22"/>
                <w:szCs w:val="22"/>
                <w:lang w:val="pt-BR"/>
              </w:rPr>
              <w:t>Mover Infrastructure/IConsulta.cs para Domain/IConsulta.cs, trocar o namespace para DetectorPhishing.Domain e remover o using de Infrastructure em EmailAnalist.cs. As implementações em Infrastructure e os dublês em Testes passam a importar o Domain, o que é a direção correta.</w:t>
            </w:r>
          </w:p>
          <w:p w14:paraId="034BAE73" wp14:textId="77777777">
            <w:pPr>
              <w:spacing w:after="0" w:line="264" w:lineRule="auto"/>
              <w:jc w:val="both"/>
            </w:pPr>
            <w:r w:rsidRPr="5EBFC3C0" w:rsidR="5EBFC3C0">
              <w:rPr>
                <w:rFonts w:ascii="Calibri" w:hAnsi="Calibri" w:eastAsia="Calibri" w:cs="Calibri"/>
                <w:color w:val="333333"/>
                <w:sz w:val="22"/>
                <w:szCs w:val="22"/>
                <w:lang w:val="en-US"/>
              </w:rPr>
              <w:t>É um arquivo movido e três linhas alteradas. Com isso o C10 e o C11 saem de 5,0 para o nível plenamente atingido, e a nota do andamento passa de 6,49 para 7,12.</w:t>
            </w:r>
          </w:p>
        </w:tc>
      </w:tr>
    </w:tbl>
    <w:p xmlns:wp14="http://schemas.microsoft.com/office/word/2010/wordml" w14:paraId="6A05A809" wp14:textId="77777777">
      <w:r>
        <w:br w:type="page"/>
      </w:r>
    </w:p>
    <w:p xmlns:wp14="http://schemas.microsoft.com/office/word/2010/wordml" w14:paraId="1B013D8E" wp14:textId="77777777">
      <w:pPr>
        <w:pStyle w:val="Heading1"/>
        <w:pBdr>
          <w:bottom w:val="single" w:color="FFDA1A" w:sz="8" w:space="6"/>
        </w:pBdr>
        <w:spacing w:before="360" w:after="200"/>
      </w:pPr>
      <w:r>
        <w:rPr>
          <w:rFonts w:ascii="Calibri" w:hAnsi="Calibri" w:eastAsia="Calibri" w:cs="Calibri"/>
          <w:b/>
          <w:bCs/>
          <w:color w:val="00695F"/>
          <w:sz w:val="32"/>
          <w:szCs w:val="32"/>
        </w:rPr>
        <w:t xml:space="preserve">4. A Fase 2 é a lacuna real</w:t>
      </w:r>
    </w:p>
    <w:p xmlns:wp14="http://schemas.microsoft.com/office/word/2010/wordml" w14:paraId="7180A4A8" wp14:textId="77777777">
      <w:pPr>
        <w:spacing w:after="140" w:line="276" w:lineRule="auto"/>
        <w:jc w:val="both"/>
      </w:pPr>
      <w:r w:rsidRPr="5EBFC3C0" w:rsidR="5EBFC3C0">
        <w:rPr>
          <w:rFonts w:ascii="Calibri" w:hAnsi="Calibri" w:eastAsia="Calibri" w:cs="Calibri"/>
          <w:color w:val="333333"/>
          <w:sz w:val="22"/>
          <w:szCs w:val="22"/>
          <w:lang w:val="en-US"/>
        </w:rPr>
        <w:t>Dos quatro critérios do bloco B, três estão abaixo de 4,0. Não é falha de capacidade — os três são justamente os que não foram executados.</w:t>
      </w:r>
    </w:p>
    <w:tbl>
      <w:tblPr>
        <w:tblW w:w="9360" w:type="dxa"/>
        <w:tblBorders>
          <w:top w:val="single" w:color="C9D6D4" w:sz="4"/>
          <w:left w:val="single" w:color="C9D6D4" w:sz="4"/>
          <w:bottom w:val="single" w:color="C9D6D4" w:sz="4"/>
          <w:right w:val="single" w:color="C9D6D4" w:sz="4"/>
          <w:insideH w:val="single" w:color="C9D6D4" w:sz="4"/>
          <w:insideV w:val="single" w:color="C9D6D4" w:sz="4"/>
        </w:tblBorders>
      </w:tblPr>
      <w:tblGrid>
        <w:gridCol w:w="600"/>
        <w:gridCol w:w="2000"/>
        <w:gridCol w:w="3400"/>
        <w:gridCol w:w="3360"/>
      </w:tblGrid>
      <w:tr xmlns:wp14="http://schemas.microsoft.com/office/word/2010/wordml" w:rsidTr="5EBFC3C0" w14:paraId="53AEC6A8" wp14:textId="77777777">
        <w:trPr>
          <w:tblHeader/>
        </w:trPr>
        <w:tc>
          <w:tcPr>
            <w:tcW w:w="600" w:type="dxa"/>
            <w:shd w:val="clear" w:color="auto" w:fill="00A59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12D22A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w="2000" w:type="dxa"/>
            <w:shd w:val="clear" w:color="auto" w:fill="00A59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D70346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1"/>
                <w:bCs w:val="1"/>
                <w:color w:val="FFFFFF"/>
                <w:sz w:val="20"/>
                <w:szCs w:val="20"/>
                <w:lang w:val="en-US"/>
              </w:rPr>
              <w:t>Critério</w:t>
            </w:r>
          </w:p>
        </w:tc>
        <w:tc>
          <w:tcPr>
            <w:tcW w:w="3400" w:type="dxa"/>
            <w:shd w:val="clear" w:color="auto" w:fill="00A59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D0A095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1"/>
                <w:bCs w:val="1"/>
                <w:color w:val="FFFFFF"/>
                <w:sz w:val="20"/>
                <w:szCs w:val="20"/>
                <w:lang w:val="en-US"/>
              </w:rPr>
              <w:t>O que existe</w:t>
            </w:r>
          </w:p>
        </w:tc>
        <w:tc>
          <w:tcPr>
            <w:tcW w:w="3360" w:type="dxa"/>
            <w:shd w:val="clear" w:color="auto" w:fill="00A59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A61391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1"/>
                <w:bCs w:val="1"/>
                <w:color w:val="FFFFFF"/>
                <w:sz w:val="20"/>
                <w:szCs w:val="20"/>
                <w:lang w:val="en-US"/>
              </w:rPr>
              <w:t>O que falta</w:t>
            </w:r>
          </w:p>
        </w:tc>
      </w:tr>
      <w:tr xmlns:wp14="http://schemas.microsoft.com/office/word/2010/wordml" w:rsidTr="5EBFC3C0" w14:paraId="1FBEFD11" wp14:textId="77777777">
        <w:tc>
          <w:tcPr>
            <w:tcW w:w="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B3D6C2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20"/>
                <w:szCs w:val="20"/>
              </w:rPr>
              <w:t xml:space="preserve">C6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DC4A04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Volume por coleção</w:t>
            </w:r>
          </w:p>
        </w:tc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62D271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A seção 2.4 do documento de arquitetura lista três entidades, todas com operação Consulta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674C3A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Nenhum volume estimado. Quantos domínios de encurtamento conhecidos? Quantas empresas no index? Quantos templates? Quantos e-mails o usuário recebe por dia?</w:t>
            </w:r>
          </w:p>
        </w:tc>
      </w:tr>
      <w:tr xmlns:wp14="http://schemas.microsoft.com/office/word/2010/wordml" w:rsidTr="5EBFC3C0" w14:paraId="324FDD89" wp14:textId="77777777">
        <w:tc>
          <w:tcPr>
            <w:tcW w:w="6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F590A8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20"/>
                <w:szCs w:val="20"/>
              </w:rPr>
              <w:t xml:space="preserve">C7</w:t>
            </w:r>
          </w:p>
        </w:tc>
        <w:tc>
          <w:tcPr>
            <w:tcW w:w="20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DAFBF9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Estrutura justificada</w:t>
            </w:r>
          </w:p>
        </w:tc>
        <w:tc>
          <w:tcPr>
            <w:tcW w:w="34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F45D59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A seção 3.1.1 justifica o MongoDB assim: «A equipe... esta acostumado com essa tecnologia, e nenhuma necessidade dentro desse PoC descorda com o uso dessa tecnologia»</w:t>
            </w:r>
          </w:p>
        </w:tc>
        <w:tc>
          <w:tcPr>
            <w:tcW w:w="336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67E7EC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Essa é justificativa por familiaridade — exatamente o que o critério recusa. Falta citar a operação predominante e o volume. A frase que precisa caber é: escolhi X porque a operação predominante é Y e o volume estimado é Z</w:t>
            </w:r>
          </w:p>
        </w:tc>
      </w:tr>
      <w:tr xmlns:wp14="http://schemas.microsoft.com/office/word/2010/wordml" w:rsidTr="5EBFC3C0" w14:paraId="4C40626B" wp14:textId="77777777">
        <w:tc>
          <w:tcPr>
            <w:tcW w:w="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7FF47B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20"/>
                <w:szCs w:val="20"/>
              </w:rPr>
              <w:t xml:space="preserve">C8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0697C8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Decisão algorítmica medida</w:t>
            </w:r>
          </w:p>
        </w:tc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6296C0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333333"/>
                <w:sz w:val="20"/>
                <w:szCs w:val="20"/>
              </w:rPr>
              <w:t xml:space="preserve">Nada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C66A74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Não há tabela de medição, nem dois métodos comparados, nem conclusão derivada de dados</w:t>
            </w:r>
          </w:p>
        </w:tc>
      </w:tr>
    </w:tbl>
    <w:tbl>
      <w:tblPr>
        <w:tblW w:w="9360" w:type="dxa"/>
        <w:tblBorders>
          <w:top w:val="single" w:color="00A59A" w:sz="4"/>
          <w:left w:val="single" w:color="00A59A" w:sz="18"/>
          <w:bottom w:val="single" w:color="00A59A" w:sz="4"/>
          <w:right w:val="single" w:color="00A59A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EBFC3C0" w14:paraId="3A2FD30E" wp14:textId="77777777">
        <w:trPr>
          <w:cantSplit/>
        </w:trPr>
        <w:tc>
          <w:tcPr>
            <w:tcW w:w="9360" w:type="dxa"/>
            <w:shd w:val="clear" w:color="auto" w:fill="F2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D5A7FCB" wp14:textId="77777777">
            <w:pPr>
              <w:spacing w:after="90"/>
            </w:pPr>
            <w:r w:rsidRPr="5EBFC3C0" w:rsidR="5EBFC3C0">
              <w:rPr>
                <w:rFonts w:ascii="Calibri" w:hAnsi="Calibri" w:eastAsia="Calibri" w:cs="Calibri"/>
                <w:b w:val="1"/>
                <w:bCs w:val="1"/>
                <w:color w:val="00695F"/>
                <w:sz w:val="21"/>
                <w:szCs w:val="21"/>
                <w:lang w:val="en-US"/>
              </w:rPr>
              <w:t>O que medir, no seu caso</w:t>
            </w:r>
          </w:p>
          <w:p w14:paraId="6DF10101" wp14:textId="77777777">
            <w:pPr>
              <w:spacing w:after="70" w:line="264" w:lineRule="auto"/>
              <w:jc w:val="both"/>
            </w:pPr>
            <w:r w:rsidRPr="5EBFC3C0" w:rsidR="5EBFC3C0">
              <w:rPr>
                <w:rFonts w:ascii="Calibri" w:hAnsi="Calibri" w:eastAsia="Calibri" w:cs="Calibri"/>
                <w:color w:val="333333"/>
                <w:sz w:val="22"/>
                <w:szCs w:val="22"/>
                <w:lang w:val="en-US"/>
              </w:rPr>
              <w:t>O seu algoritmo tem uma operação dominante clara: para cada e-mail, percorrer os hyperlinks e, para cada um, consultar o registro de domínios de encurtamento e comparar com os domínios oficiais do template. O custo cresce com o número de links por mensagem multiplicado pelo número de domínios registrados.</w:t>
            </w:r>
          </w:p>
          <w:p w14:paraId="28E5D8B9" wp14:textId="77777777">
            <w:pPr>
              <w:spacing w:after="70" w:line="264" w:lineRule="auto"/>
              <w:jc w:val="both"/>
            </w:pPr>
            <w:r w:rsidRPr="5EBFC3C0" w:rsidR="5EBFC3C0">
              <w:rPr>
                <w:rFonts w:ascii="Calibri" w:hAnsi="Calibri" w:eastAsia="Calibri" w:cs="Calibri"/>
                <w:color w:val="333333"/>
                <w:sz w:val="22"/>
                <w:szCs w:val="22"/>
                <w:lang w:val="en-US"/>
              </w:rPr>
              <w:t>A medição natural é comparar duas estruturas para o registro de domínios de encurtamento: percorrer a lista sequencialmente contra indexar por domínio em uma tabela de dispersão. Meça com 10, 100 e 1.000 domínios registrados, e com mensagens de 1, 5 e 20 links. O resultado vai mostrar a partir de que tamanho a diferença importa — e se não importar na sua faixa, isso também é conclusão legítima, desde que medida.</w:t>
            </w:r>
          </w:p>
          <w:p w14:paraId="7C546FCB" wp14:textId="77777777">
            <w:pPr>
              <w:spacing w:after="0" w:line="264" w:lineRule="auto"/>
              <w:jc w:val="both"/>
            </w:pPr>
            <w:r w:rsidRPr="5EBFC3C0" w:rsidR="5EBFC3C0">
              <w:rPr>
                <w:rFonts w:ascii="Calibri" w:hAnsi="Calibri" w:eastAsia="Calibri" w:cs="Calibri"/>
                <w:color w:val="333333"/>
                <w:sz w:val="22"/>
                <w:szCs w:val="22"/>
                <w:lang w:val="en-US"/>
              </w:rPr>
              <w:t>Há uma segunda medição possível e mais ligada ao RNF-01: o tempo total de análise de uma mensagem. O critério CA-07 exige até 10 segundos. Esse número precisa ser medido, e hoje a própria rastreabilidade registra que ele está «sem verificação formal, prorrogada para a Fase 5».</w:t>
            </w:r>
          </w:p>
        </w:tc>
      </w:tr>
    </w:tbl>
    <w:p xmlns:wp14="http://schemas.microsoft.com/office/word/2010/wordml" w14:paraId="5A39BBE3" wp14:textId="77777777">
      <w:r>
        <w:br w:type="page"/>
      </w:r>
    </w:p>
    <w:p xmlns:wp14="http://schemas.microsoft.com/office/word/2010/wordml" w:rsidP="5EBFC3C0" w14:paraId="1B5F6F58" wp14:textId="77777777">
      <w:pPr>
        <w:pStyle w:val="Heading1"/>
        <w:pBdr>
          <w:bottom w:val="single" w:color="FFDA1A" w:sz="8" w:space="6"/>
        </w:pBdr>
        <w:spacing w:before="360" w:after="200"/>
      </w:pPr>
      <w:r w:rsidRPr="5EBFC3C0" w:rsidR="5EBFC3C0">
        <w:rPr>
          <w:rFonts w:ascii="Calibri" w:hAnsi="Calibri" w:eastAsia="Calibri" w:cs="Calibri"/>
          <w:b w:val="1"/>
          <w:bCs w:val="1"/>
          <w:color w:val="00695F"/>
          <w:sz w:val="32"/>
          <w:szCs w:val="32"/>
          <w:lang w:val="en-US"/>
        </w:rPr>
        <w:t>5. Avaliação critério a critério</w:t>
      </w:r>
    </w:p>
    <w:p xmlns:wp14="http://schemas.microsoft.com/office/word/2010/wordml" w14:paraId="3DC0A031" wp14:textId="77777777">
      <w:pPr>
        <w:pStyle w:val="Heading2"/>
        <w:spacing w:before="280" w:after="140"/>
      </w:pPr>
      <w:r w:rsidRPr="5EBFC3C0" w:rsidR="5EBFC3C0">
        <w:rPr>
          <w:rFonts w:ascii="Calibri" w:hAnsi="Calibri" w:eastAsia="Calibri" w:cs="Calibri"/>
          <w:b w:val="1"/>
          <w:bCs w:val="1"/>
          <w:color w:val="00A59A"/>
          <w:sz w:val="26"/>
          <w:szCs w:val="26"/>
          <w:lang w:val="en-US"/>
        </w:rPr>
        <w:t>Bloco A — Definição do problema (35%)</w:t>
      </w:r>
    </w:p>
    <w:tbl>
      <w:tblPr>
        <w:tblW w:w="9360" w:type="dxa"/>
        <w:tblBorders>
          <w:top w:val="single" w:color="C9D6D4" w:sz="4"/>
          <w:left w:val="single" w:color="C9D6D4" w:sz="4"/>
          <w:bottom w:val="single" w:color="C9D6D4" w:sz="4"/>
          <w:right w:val="single" w:color="C9D6D4" w:sz="4"/>
          <w:insideH w:val="single" w:color="C9D6D4" w:sz="4"/>
          <w:insideV w:val="single" w:color="C9D6D4" w:sz="4"/>
        </w:tblBorders>
      </w:tblPr>
      <w:tblGrid>
        <w:gridCol w:w="560"/>
        <w:gridCol w:w="2000"/>
        <w:gridCol w:w="700"/>
        <w:gridCol w:w="700"/>
        <w:gridCol w:w="5400"/>
      </w:tblGrid>
      <w:tr xmlns:wp14="http://schemas.microsoft.com/office/word/2010/wordml" w:rsidTr="5EBFC3C0" w14:paraId="70F552A2" wp14:textId="77777777">
        <w:trPr>
          <w:tblHeader/>
        </w:trPr>
        <w:tc>
          <w:tcPr>
            <w:tcW w:w="560" w:type="dxa"/>
            <w:shd w:val="clear" w:color="auto" w:fill="00A59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7118B2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w="2000" w:type="dxa"/>
            <w:shd w:val="clear" w:color="auto" w:fill="00A59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F68849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1"/>
                <w:bCs w:val="1"/>
                <w:color w:val="FFFFFF"/>
                <w:sz w:val="20"/>
                <w:szCs w:val="20"/>
                <w:lang w:val="en-US"/>
              </w:rPr>
              <w:t>Critério</w:t>
            </w:r>
          </w:p>
        </w:tc>
        <w:tc>
          <w:tcPr>
            <w:tcW w:w="700" w:type="dxa"/>
            <w:shd w:val="clear" w:color="auto" w:fill="00A59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1BA59F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w="700" w:type="dxa"/>
            <w:shd w:val="clear" w:color="auto" w:fill="00A59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17CA29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  <w:tc>
          <w:tcPr>
            <w:tcW w:w="5400" w:type="dxa"/>
            <w:shd w:val="clear" w:color="auto" w:fill="00A59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3E5C53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1"/>
                <w:bCs w:val="1"/>
                <w:color w:val="FFFFFF"/>
                <w:sz w:val="20"/>
                <w:szCs w:val="20"/>
                <w:lang w:val="en-US"/>
              </w:rPr>
              <w:t>Evidência observada</w:t>
            </w:r>
          </w:p>
        </w:tc>
      </w:tr>
      <w:tr xmlns:wp14="http://schemas.microsoft.com/office/word/2010/wordml" w:rsidTr="5EBFC3C0" w14:paraId="469D1F4A" wp14:textId="77777777">
        <w:tc>
          <w:tcPr>
            <w:tcW w:w="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80E770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20"/>
                <w:szCs w:val="20"/>
              </w:rPr>
              <w:t xml:space="preserve">C1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E835D4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Origem do levantamento</w:t>
            </w:r>
          </w:p>
        </w:tc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79621B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333333"/>
                <w:sz w:val="20"/>
                <w:szCs w:val="20"/>
              </w:rPr>
              <w:t xml:space="preserve">8%</w:t>
            </w:r>
          </w:p>
        </w:tc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7E5DE0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333333"/>
                <w:sz w:val="20"/>
                <w:szCs w:val="20"/>
              </w:rPr>
              <w:t xml:space="preserve">6,5</w:t>
            </w:r>
          </w:p>
        </w:tc>
        <w:tc>
          <w:tcPr>
            <w:tcW w:w="5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443078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Solicitante declarado como contexto observado, e a fonte do Documento de Requisitos declarada como entrevista com a própria equipe — honestidade correta. Há análise documental real, com fontes nomeadas e período. Falta o registro das respostas: o roteiro traz só as perguntas, sem data nem entrevistado</w:t>
            </w:r>
          </w:p>
        </w:tc>
      </w:tr>
      <w:tr xmlns:wp14="http://schemas.microsoft.com/office/word/2010/wordml" w:rsidTr="5EBFC3C0" w14:paraId="7C3948BD" wp14:textId="77777777">
        <w:tc>
          <w:tcPr>
            <w:tcW w:w="56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0CF7E8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20"/>
                <w:szCs w:val="20"/>
              </w:rPr>
              <w:t xml:space="preserve">C2</w:t>
            </w:r>
          </w:p>
        </w:tc>
        <w:tc>
          <w:tcPr>
            <w:tcW w:w="20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6F48E8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Contexto quantificado</w:t>
            </w:r>
          </w:p>
        </w:tc>
        <w:tc>
          <w:tcPr>
            <w:tcW w:w="7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22563F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333333"/>
                <w:sz w:val="20"/>
                <w:szCs w:val="20"/>
              </w:rPr>
              <w:t xml:space="preserve">7%</w:t>
            </w:r>
          </w:p>
        </w:tc>
        <w:tc>
          <w:tcPr>
            <w:tcW w:w="7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200488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333333"/>
                <w:sz w:val="20"/>
                <w:szCs w:val="20"/>
              </w:rPr>
              <w:t xml:space="preserve">8,5</w:t>
            </w:r>
          </w:p>
        </w:tc>
        <w:tc>
          <w:tcPr>
            <w:tcW w:w="54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8AA809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Três números com fonte nomeada e um deles com ressalva explícita de aplicabilidade. Falta o número do próprio usuário-alvo — quantas mensagens por dia e quanto tempo ele gasta verificando. O bloco E do roteiro pergunta exatamente isso e não tem resposta</w:t>
            </w:r>
          </w:p>
        </w:tc>
      </w:tr>
      <w:tr xmlns:wp14="http://schemas.microsoft.com/office/word/2010/wordml" w:rsidTr="5EBFC3C0" w14:paraId="3DE10799" wp14:textId="77777777">
        <w:tc>
          <w:tcPr>
            <w:tcW w:w="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C0B3C4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20"/>
                <w:szCs w:val="20"/>
              </w:rPr>
              <w:t xml:space="preserve">C3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5FFDA0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Objetivo verificável</w:t>
            </w:r>
          </w:p>
        </w:tc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22FCB5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333333"/>
                <w:sz w:val="20"/>
                <w:szCs w:val="20"/>
              </w:rPr>
              <w:t xml:space="preserve">7%</w:t>
            </w:r>
          </w:p>
        </w:tc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844E03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333333"/>
                <w:sz w:val="20"/>
                <w:szCs w:val="20"/>
              </w:rPr>
              <w:t xml:space="preserve">8,5</w:t>
            </w:r>
          </w:p>
        </w:tc>
        <w:tc>
          <w:tcPr>
            <w:tcW w:w="5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8AABCE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Frase única, um verbo, sem tecnologia. «Prováveis» é vago, mas o CA-02 define a verificação</w:t>
            </w:r>
          </w:p>
        </w:tc>
      </w:tr>
      <w:tr xmlns:wp14="http://schemas.microsoft.com/office/word/2010/wordml" w:rsidTr="5EBFC3C0" w14:paraId="229B098F" wp14:textId="77777777">
        <w:tc>
          <w:tcPr>
            <w:tcW w:w="56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12F916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20"/>
                <w:szCs w:val="20"/>
              </w:rPr>
              <w:t xml:space="preserve">C4</w:t>
            </w:r>
          </w:p>
        </w:tc>
        <w:tc>
          <w:tcPr>
            <w:tcW w:w="20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18B945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Delimitação de escopo</w:t>
            </w:r>
          </w:p>
        </w:tc>
        <w:tc>
          <w:tcPr>
            <w:tcW w:w="7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E91FA6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333333"/>
                <w:sz w:val="20"/>
                <w:szCs w:val="20"/>
              </w:rPr>
              <w:t xml:space="preserve">6%</w:t>
            </w:r>
          </w:p>
        </w:tc>
        <w:tc>
          <w:tcPr>
            <w:tcW w:w="7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6CE61F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333333"/>
                <w:sz w:val="20"/>
                <w:szCs w:val="20"/>
              </w:rPr>
              <w:t xml:space="preserve">8,0</w:t>
            </w:r>
          </w:p>
        </w:tc>
        <w:tc>
          <w:tcPr>
            <w:tcW w:w="54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AAAC53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Cinco itens incluídos e três exclusões com razão desenvolvida. O item 2 do escopo incluído, «detectar e-mails suspeitos», é o objetivo inteiro e não uma funcionalidade — vale desdobrar</w:t>
            </w:r>
          </w:p>
        </w:tc>
      </w:tr>
      <w:tr xmlns:wp14="http://schemas.microsoft.com/office/word/2010/wordml" w:rsidTr="5EBFC3C0" w14:paraId="3A092C71" wp14:textId="77777777">
        <w:tc>
          <w:tcPr>
            <w:tcW w:w="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E055E9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20"/>
                <w:szCs w:val="20"/>
              </w:rPr>
              <w:t xml:space="preserve">C5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A5997F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Critérios de aceitação</w:t>
            </w:r>
          </w:p>
        </w:tc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0C982A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333333"/>
                <w:sz w:val="20"/>
                <w:szCs w:val="20"/>
              </w:rPr>
              <w:t xml:space="preserve">7%</w:t>
            </w:r>
          </w:p>
        </w:tc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412BA3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333333"/>
                <w:sz w:val="20"/>
                <w:szCs w:val="20"/>
              </w:rPr>
              <w:t xml:space="preserve">8,5</w:t>
            </w:r>
          </w:p>
        </w:tc>
        <w:tc>
          <w:tcPr>
            <w:tcW w:w="5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F3D395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Sete critérios, todos com forma de verificação, um com tempo e um de caso negativo. A numeração salta de CA-05 para CA-07: o CA-06 foi removido do termo mas continua citado no Documento de Requisitos</w:t>
            </w:r>
          </w:p>
        </w:tc>
      </w:tr>
    </w:tbl>
    <w:p xmlns:wp14="http://schemas.microsoft.com/office/word/2010/wordml" w14:paraId="2406E228" wp14:textId="77777777">
      <w:pPr>
        <w:pStyle w:val="Heading2"/>
        <w:spacing w:before="280" w:after="140"/>
      </w:pPr>
      <w:r w:rsidRPr="5EBFC3C0" w:rsidR="5EBFC3C0">
        <w:rPr>
          <w:rFonts w:ascii="Calibri" w:hAnsi="Calibri" w:eastAsia="Calibri" w:cs="Calibri"/>
          <w:b w:val="1"/>
          <w:bCs w:val="1"/>
          <w:color w:val="00A59A"/>
          <w:sz w:val="26"/>
          <w:szCs w:val="26"/>
          <w:lang w:val="en-US"/>
        </w:rPr>
        <w:t>Bloco B — Decisões técnicas de base (25%)</w:t>
      </w:r>
    </w:p>
    <w:tbl>
      <w:tblPr>
        <w:tblW w:w="9360" w:type="dxa"/>
        <w:tblBorders>
          <w:top w:val="single" w:color="C9D6D4" w:sz="4"/>
          <w:left w:val="single" w:color="C9D6D4" w:sz="4"/>
          <w:bottom w:val="single" w:color="C9D6D4" w:sz="4"/>
          <w:right w:val="single" w:color="C9D6D4" w:sz="4"/>
          <w:insideH w:val="single" w:color="C9D6D4" w:sz="4"/>
          <w:insideV w:val="single" w:color="C9D6D4" w:sz="4"/>
        </w:tblBorders>
      </w:tblPr>
      <w:tblGrid>
        <w:gridCol w:w="560"/>
        <w:gridCol w:w="2000"/>
        <w:gridCol w:w="700"/>
        <w:gridCol w:w="700"/>
        <w:gridCol w:w="5400"/>
      </w:tblGrid>
      <w:tr xmlns:wp14="http://schemas.microsoft.com/office/word/2010/wordml" w:rsidTr="5EBFC3C0" w14:paraId="0DAA1B17" wp14:textId="77777777">
        <w:trPr>
          <w:tblHeader/>
        </w:trPr>
        <w:tc>
          <w:tcPr>
            <w:tcW w:w="560" w:type="dxa"/>
            <w:shd w:val="clear" w:color="auto" w:fill="00A59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D095E2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w="2000" w:type="dxa"/>
            <w:shd w:val="clear" w:color="auto" w:fill="00A59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EF619D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1"/>
                <w:bCs w:val="1"/>
                <w:color w:val="FFFFFF"/>
                <w:sz w:val="20"/>
                <w:szCs w:val="20"/>
                <w:lang w:val="en-US"/>
              </w:rPr>
              <w:t>Critério</w:t>
            </w:r>
          </w:p>
        </w:tc>
        <w:tc>
          <w:tcPr>
            <w:tcW w:w="700" w:type="dxa"/>
            <w:shd w:val="clear" w:color="auto" w:fill="00A59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4B4545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w="700" w:type="dxa"/>
            <w:shd w:val="clear" w:color="auto" w:fill="00A59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F7A40B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  <w:tc>
          <w:tcPr>
            <w:tcW w:w="5400" w:type="dxa"/>
            <w:shd w:val="clear" w:color="auto" w:fill="00A59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95C821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1"/>
                <w:bCs w:val="1"/>
                <w:color w:val="FFFFFF"/>
                <w:sz w:val="20"/>
                <w:szCs w:val="20"/>
                <w:lang w:val="en-US"/>
              </w:rPr>
              <w:t>Evidência observada</w:t>
            </w:r>
          </w:p>
        </w:tc>
      </w:tr>
      <w:tr xmlns:wp14="http://schemas.microsoft.com/office/word/2010/wordml" w:rsidTr="5EBFC3C0" w14:paraId="038F33BF" wp14:textId="77777777">
        <w:tc>
          <w:tcPr>
            <w:tcW w:w="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466D9C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20"/>
                <w:szCs w:val="20"/>
              </w:rPr>
              <w:t xml:space="preserve">C6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138901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Volume por coleção</w:t>
            </w:r>
          </w:p>
        </w:tc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B6D38D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333333"/>
                <w:sz w:val="20"/>
                <w:szCs w:val="20"/>
              </w:rPr>
              <w:t xml:space="preserve">7%</w:t>
            </w:r>
          </w:p>
        </w:tc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D92B74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333333"/>
                <w:sz w:val="20"/>
                <w:szCs w:val="20"/>
              </w:rPr>
              <w:t xml:space="preserve">3,5</w:t>
            </w:r>
          </w:p>
        </w:tc>
        <w:tc>
          <w:tcPr>
            <w:tcW w:w="5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BED633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Operação predominante identificada para as três coleções; nenhum volume estimado</w:t>
            </w:r>
          </w:p>
        </w:tc>
      </w:tr>
      <w:tr xmlns:wp14="http://schemas.microsoft.com/office/word/2010/wordml" w:rsidTr="5EBFC3C0" w14:paraId="0B941393" wp14:textId="77777777">
        <w:tc>
          <w:tcPr>
            <w:tcW w:w="56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E1410C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20"/>
                <w:szCs w:val="20"/>
              </w:rPr>
              <w:t xml:space="preserve">C7</w:t>
            </w:r>
          </w:p>
        </w:tc>
        <w:tc>
          <w:tcPr>
            <w:tcW w:w="20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D1DDA4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Estrutura justificada</w:t>
            </w:r>
          </w:p>
        </w:tc>
        <w:tc>
          <w:tcPr>
            <w:tcW w:w="7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FD83C2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333333"/>
                <w:sz w:val="20"/>
                <w:szCs w:val="20"/>
              </w:rPr>
              <w:t xml:space="preserve">7%</w:t>
            </w:r>
          </w:p>
        </w:tc>
        <w:tc>
          <w:tcPr>
            <w:tcW w:w="7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1BB50B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333333"/>
                <w:sz w:val="20"/>
                <w:szCs w:val="20"/>
              </w:rPr>
              <w:t xml:space="preserve">3,0</w:t>
            </w:r>
          </w:p>
        </w:tc>
        <w:tc>
          <w:tcPr>
            <w:tcW w:w="54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E496C2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Justificativa por familiaridade da equipe, sem operação predominante nem volume</w:t>
            </w:r>
          </w:p>
        </w:tc>
      </w:tr>
      <w:tr xmlns:wp14="http://schemas.microsoft.com/office/word/2010/wordml" w:rsidTr="5EBFC3C0" w14:paraId="5B3FBDF0" wp14:textId="77777777">
        <w:tc>
          <w:tcPr>
            <w:tcW w:w="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C7668C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20"/>
                <w:szCs w:val="20"/>
              </w:rPr>
              <w:t xml:space="preserve">C8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74CAF2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Decisão algorítmica medida</w:t>
            </w:r>
          </w:p>
        </w:tc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9E3B4A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333333"/>
                <w:sz w:val="20"/>
                <w:szCs w:val="20"/>
              </w:rPr>
              <w:t xml:space="preserve">6%</w:t>
            </w:r>
          </w:p>
        </w:tc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81A8A2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333333"/>
                <w:sz w:val="20"/>
                <w:szCs w:val="20"/>
              </w:rPr>
              <w:t xml:space="preserve">2,0</w:t>
            </w:r>
          </w:p>
        </w:tc>
        <w:tc>
          <w:tcPr>
            <w:tcW w:w="5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943BD4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Nenhuma medição apresentada</w:t>
            </w:r>
          </w:p>
        </w:tc>
      </w:tr>
      <w:tr xmlns:wp14="http://schemas.microsoft.com/office/word/2010/wordml" w:rsidTr="5EBFC3C0" w14:paraId="31E19CA4" wp14:textId="77777777">
        <w:tc>
          <w:tcPr>
            <w:tcW w:w="56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2C0DD6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20"/>
                <w:szCs w:val="20"/>
              </w:rPr>
              <w:t xml:space="preserve">C9</w:t>
            </w:r>
          </w:p>
        </w:tc>
        <w:tc>
          <w:tcPr>
            <w:tcW w:w="20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25616B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Modelo de domínio derivado</w:t>
            </w:r>
          </w:p>
        </w:tc>
        <w:tc>
          <w:tcPr>
            <w:tcW w:w="7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8B85BA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333333"/>
                <w:sz w:val="20"/>
                <w:szCs w:val="20"/>
              </w:rPr>
              <w:t xml:space="preserve">5%</w:t>
            </w:r>
          </w:p>
        </w:tc>
        <w:tc>
          <w:tcPr>
            <w:tcW w:w="7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C7853D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333333"/>
                <w:sz w:val="20"/>
                <w:szCs w:val="20"/>
              </w:rPr>
              <w:t xml:space="preserve">9,0</w:t>
            </w:r>
          </w:p>
        </w:tc>
        <w:tc>
          <w:tcPr>
            <w:tcW w:w="54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7CF76A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Quatro classes com frase de responsabilidade adequada, derivadas dos requisitos e efetivamente implementadas. A seção 1.5 distingue corretamente o que é domínio do que é implementação sólida</w:t>
            </w:r>
          </w:p>
        </w:tc>
      </w:tr>
    </w:tbl>
    <w:p xmlns:wp14="http://schemas.microsoft.com/office/word/2010/wordml" w14:paraId="5F5476C1" wp14:textId="77777777">
      <w:pPr>
        <w:pStyle w:val="Heading2"/>
        <w:spacing w:before="280" w:after="140"/>
      </w:pPr>
      <w:r w:rsidRPr="5EBFC3C0" w:rsidR="5EBFC3C0">
        <w:rPr>
          <w:rFonts w:ascii="Calibri" w:hAnsi="Calibri" w:eastAsia="Calibri" w:cs="Calibri"/>
          <w:b w:val="1"/>
          <w:bCs w:val="1"/>
          <w:color w:val="00A59A"/>
          <w:sz w:val="26"/>
          <w:szCs w:val="26"/>
          <w:lang w:val="en-US"/>
        </w:rPr>
        <w:t>Bloco C — Arquitetura (30%)</w:t>
      </w:r>
    </w:p>
    <w:tbl>
      <w:tblPr>
        <w:tblW w:w="9360" w:type="dxa"/>
        <w:tblBorders>
          <w:top w:val="single" w:color="C9D6D4" w:sz="4"/>
          <w:left w:val="single" w:color="C9D6D4" w:sz="4"/>
          <w:bottom w:val="single" w:color="C9D6D4" w:sz="4"/>
          <w:right w:val="single" w:color="C9D6D4" w:sz="4"/>
          <w:insideH w:val="single" w:color="C9D6D4" w:sz="4"/>
          <w:insideV w:val="single" w:color="C9D6D4" w:sz="4"/>
        </w:tblBorders>
      </w:tblPr>
      <w:tblGrid>
        <w:gridCol w:w="560"/>
        <w:gridCol w:w="2000"/>
        <w:gridCol w:w="700"/>
        <w:gridCol w:w="700"/>
        <w:gridCol w:w="5400"/>
      </w:tblGrid>
      <w:tr xmlns:wp14="http://schemas.microsoft.com/office/word/2010/wordml" w:rsidTr="5EBFC3C0" w14:paraId="5FAE501B" wp14:textId="77777777">
        <w:trPr>
          <w:tblHeader/>
        </w:trPr>
        <w:tc>
          <w:tcPr>
            <w:tcW w:w="560" w:type="dxa"/>
            <w:shd w:val="clear" w:color="auto" w:fill="00A59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1F7D86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w="2000" w:type="dxa"/>
            <w:shd w:val="clear" w:color="auto" w:fill="00A59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1508C9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1"/>
                <w:bCs w:val="1"/>
                <w:color w:val="FFFFFF"/>
                <w:sz w:val="20"/>
                <w:szCs w:val="20"/>
                <w:lang w:val="en-US"/>
              </w:rPr>
              <w:t>Critério</w:t>
            </w:r>
          </w:p>
        </w:tc>
        <w:tc>
          <w:tcPr>
            <w:tcW w:w="700" w:type="dxa"/>
            <w:shd w:val="clear" w:color="auto" w:fill="00A59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CDC079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w="700" w:type="dxa"/>
            <w:shd w:val="clear" w:color="auto" w:fill="00A59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84B225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  <w:tc>
          <w:tcPr>
            <w:tcW w:w="5400" w:type="dxa"/>
            <w:shd w:val="clear" w:color="auto" w:fill="00A59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E06C72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1"/>
                <w:bCs w:val="1"/>
                <w:color w:val="FFFFFF"/>
                <w:sz w:val="20"/>
                <w:szCs w:val="20"/>
                <w:lang w:val="en-US"/>
              </w:rPr>
              <w:t>Evidência observada</w:t>
            </w:r>
          </w:p>
        </w:tc>
      </w:tr>
      <w:tr xmlns:wp14="http://schemas.microsoft.com/office/word/2010/wordml" w:rsidTr="5EBFC3C0" w14:paraId="725F17CA" wp14:textId="77777777">
        <w:tc>
          <w:tcPr>
            <w:tcW w:w="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0BCD38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20"/>
                <w:szCs w:val="20"/>
              </w:rPr>
              <w:t xml:space="preserve">C10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7A8CC2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Sentido das dependências</w:t>
            </w:r>
          </w:p>
        </w:tc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2A7309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333333"/>
                <w:sz w:val="20"/>
                <w:szCs w:val="20"/>
              </w:rPr>
              <w:t xml:space="preserve">7%</w:t>
            </w:r>
          </w:p>
        </w:tc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DA1B07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333333"/>
                <w:sz w:val="20"/>
                <w:szCs w:val="20"/>
              </w:rPr>
              <w:t xml:space="preserve">5,0</w:t>
            </w:r>
          </w:p>
        </w:tc>
        <w:tc>
          <w:tcPr>
            <w:tcW w:w="5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46C555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As pastas nomeiam as quatro camadas corretamente, mas Domain/EmailAnalist.cs importa Infrastructure. Vazamento confirmado por verificação no código</w:t>
            </w:r>
          </w:p>
        </w:tc>
      </w:tr>
      <w:tr xmlns:wp14="http://schemas.microsoft.com/office/word/2010/wordml" w:rsidTr="5EBFC3C0" w14:paraId="2B701144" wp14:textId="77777777">
        <w:tc>
          <w:tcPr>
            <w:tcW w:w="56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336D12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20"/>
                <w:szCs w:val="20"/>
              </w:rPr>
              <w:t xml:space="preserve">C11</w:t>
            </w:r>
          </w:p>
        </w:tc>
        <w:tc>
          <w:tcPr>
            <w:tcW w:w="20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181601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Contratos no domínio</w:t>
            </w:r>
          </w:p>
        </w:tc>
        <w:tc>
          <w:tcPr>
            <w:tcW w:w="7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5731B0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333333"/>
                <w:sz w:val="20"/>
                <w:szCs w:val="20"/>
              </w:rPr>
              <w:t xml:space="preserve">7%</w:t>
            </w:r>
          </w:p>
        </w:tc>
        <w:tc>
          <w:tcPr>
            <w:tcW w:w="7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881926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333333"/>
                <w:sz w:val="20"/>
                <w:szCs w:val="20"/>
              </w:rPr>
              <w:t xml:space="preserve">5,0</w:t>
            </w:r>
          </w:p>
        </w:tc>
        <w:tc>
          <w:tcPr>
            <w:tcW w:w="54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CF17E3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IConsulta está em Infrastructure, embora o comentário da própria interface afirme estar no Domain. Há duas implementações do contrato nos testes, o que é mérito</w:t>
            </w:r>
          </w:p>
        </w:tc>
      </w:tr>
      <w:tr xmlns:wp14="http://schemas.microsoft.com/office/word/2010/wordml" w:rsidTr="5EBFC3C0" w14:paraId="0FCA948E" wp14:textId="77777777">
        <w:tc>
          <w:tcPr>
            <w:tcW w:w="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CCDA86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20"/>
                <w:szCs w:val="20"/>
              </w:rPr>
              <w:t xml:space="preserve">C12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A0B84D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Domínio implementado e testado</w:t>
            </w:r>
          </w:p>
        </w:tc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B0BC56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333333"/>
                <w:sz w:val="20"/>
                <w:szCs w:val="20"/>
              </w:rPr>
              <w:t xml:space="preserve">7%</w:t>
            </w:r>
          </w:p>
        </w:tc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2BAA70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333333"/>
                <w:sz w:val="20"/>
                <w:szCs w:val="20"/>
              </w:rPr>
              <w:t xml:space="preserve">8,5</w:t>
            </w:r>
          </w:p>
        </w:tc>
        <w:tc>
          <w:tcPr>
            <w:tcW w:w="5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0962FC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Doze casos com dois dublês, sem MongoDB e sem rede, e executor próprio documentado. Não foi possível executar no ambiente de correção; os doze cenários foram verificados por porte da lógica e conferem</w:t>
            </w:r>
          </w:p>
        </w:tc>
      </w:tr>
      <w:tr xmlns:wp14="http://schemas.microsoft.com/office/word/2010/wordml" w:rsidTr="5EBFC3C0" w14:paraId="2EE9E974" wp14:textId="77777777">
        <w:tc>
          <w:tcPr>
            <w:tcW w:w="56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D125AF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20"/>
                <w:szCs w:val="20"/>
              </w:rPr>
              <w:t xml:space="preserve">C13</w:t>
            </w:r>
          </w:p>
        </w:tc>
        <w:tc>
          <w:tcPr>
            <w:tcW w:w="20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7B5C54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Persistência justificada</w:t>
            </w:r>
          </w:p>
        </w:tc>
        <w:tc>
          <w:tcPr>
            <w:tcW w:w="7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2BE390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333333"/>
                <w:sz w:val="20"/>
                <w:szCs w:val="20"/>
              </w:rPr>
              <w:t xml:space="preserve">5%</w:t>
            </w:r>
          </w:p>
        </w:tc>
        <w:tc>
          <w:tcPr>
            <w:tcW w:w="7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673FEB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333333"/>
                <w:sz w:val="20"/>
                <w:szCs w:val="20"/>
              </w:rPr>
              <w:t xml:space="preserve">6,5</w:t>
            </w:r>
          </w:p>
        </w:tc>
        <w:tc>
          <w:tcPr>
            <w:tcW w:w="54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13D076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Esquema dos três documentos declarado com exemplos, e a seção 3.6 define bem o que é gravado e o que é somente leitura. A escolha do banco, porém, é justificada por familiaridade, e não há índices nem política declarados</w:t>
            </w:r>
          </w:p>
        </w:tc>
      </w:tr>
      <w:tr xmlns:wp14="http://schemas.microsoft.com/office/word/2010/wordml" w:rsidTr="5EBFC3C0" w14:paraId="545012F3" wp14:textId="77777777">
        <w:tc>
          <w:tcPr>
            <w:tcW w:w="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815AA9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20"/>
                <w:szCs w:val="20"/>
              </w:rPr>
              <w:t xml:space="preserve">C14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DED4D0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Rastreabilidade íntegra</w:t>
            </w:r>
          </w:p>
        </w:tc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B07750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333333"/>
                <w:sz w:val="20"/>
                <w:szCs w:val="20"/>
              </w:rPr>
              <w:t xml:space="preserve">4%</w:t>
            </w:r>
          </w:p>
        </w:tc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4A0085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333333"/>
                <w:sz w:val="20"/>
                <w:szCs w:val="20"/>
              </w:rPr>
              <w:t xml:space="preserve">9,5</w:t>
            </w:r>
          </w:p>
        </w:tc>
        <w:tc>
          <w:tcPr>
            <w:tcW w:w="5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EC03B7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Tabela completa de RF-01 a RF-11 e RNF-01 a RNF-03, declarando honestamente o que ainda não tem classe própria e o que ficou sem verificação</w:t>
            </w:r>
          </w:p>
        </w:tc>
      </w:tr>
    </w:tbl>
    <w:p xmlns:wp14="http://schemas.microsoft.com/office/word/2010/wordml" w14:paraId="62AAD931" wp14:textId="77777777">
      <w:pPr>
        <w:pStyle w:val="Heading2"/>
        <w:spacing w:before="280" w:after="140"/>
      </w:pPr>
      <w:r w:rsidRPr="5EBFC3C0" w:rsidR="5EBFC3C0">
        <w:rPr>
          <w:rFonts w:ascii="Calibri" w:hAnsi="Calibri" w:eastAsia="Calibri" w:cs="Calibri"/>
          <w:b w:val="1"/>
          <w:bCs w:val="1"/>
          <w:color w:val="00A59A"/>
          <w:sz w:val="26"/>
          <w:szCs w:val="26"/>
          <w:lang w:val="en-US"/>
        </w:rPr>
        <w:t>Bloco D — Processo (10%)</w:t>
      </w:r>
    </w:p>
    <w:tbl>
      <w:tblPr>
        <w:tblW w:w="9360" w:type="dxa"/>
        <w:tblBorders>
          <w:top w:val="single" w:color="C9D6D4" w:sz="4"/>
          <w:left w:val="single" w:color="C9D6D4" w:sz="4"/>
          <w:bottom w:val="single" w:color="C9D6D4" w:sz="4"/>
          <w:right w:val="single" w:color="C9D6D4" w:sz="4"/>
          <w:insideH w:val="single" w:color="C9D6D4" w:sz="4"/>
          <w:insideV w:val="single" w:color="C9D6D4" w:sz="4"/>
        </w:tblBorders>
      </w:tblPr>
      <w:tblGrid>
        <w:gridCol w:w="560"/>
        <w:gridCol w:w="2000"/>
        <w:gridCol w:w="700"/>
        <w:gridCol w:w="700"/>
        <w:gridCol w:w="5400"/>
      </w:tblGrid>
      <w:tr xmlns:wp14="http://schemas.microsoft.com/office/word/2010/wordml" w:rsidTr="5EBFC3C0" w14:paraId="4D43D4DA" wp14:textId="77777777">
        <w:trPr>
          <w:tblHeader/>
        </w:trPr>
        <w:tc>
          <w:tcPr>
            <w:tcW w:w="560" w:type="dxa"/>
            <w:shd w:val="clear" w:color="auto" w:fill="00A59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2DEA87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w="2000" w:type="dxa"/>
            <w:shd w:val="clear" w:color="auto" w:fill="00A59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244C59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1"/>
                <w:bCs w:val="1"/>
                <w:color w:val="FFFFFF"/>
                <w:sz w:val="20"/>
                <w:szCs w:val="20"/>
                <w:lang w:val="en-US"/>
              </w:rPr>
              <w:t>Critério</w:t>
            </w:r>
          </w:p>
        </w:tc>
        <w:tc>
          <w:tcPr>
            <w:tcW w:w="700" w:type="dxa"/>
            <w:shd w:val="clear" w:color="auto" w:fill="00A59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F0A986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w="700" w:type="dxa"/>
            <w:shd w:val="clear" w:color="auto" w:fill="00A59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7C47AE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  <w:tc>
          <w:tcPr>
            <w:tcW w:w="5400" w:type="dxa"/>
            <w:shd w:val="clear" w:color="auto" w:fill="00A59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6E62FC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1"/>
                <w:bCs w:val="1"/>
                <w:color w:val="FFFFFF"/>
                <w:sz w:val="20"/>
                <w:szCs w:val="20"/>
                <w:lang w:val="en-US"/>
              </w:rPr>
              <w:t>Evidência observada</w:t>
            </w:r>
          </w:p>
        </w:tc>
      </w:tr>
      <w:tr xmlns:wp14="http://schemas.microsoft.com/office/word/2010/wordml" w:rsidTr="5EBFC3C0" w14:paraId="153B502F" wp14:textId="77777777">
        <w:tc>
          <w:tcPr>
            <w:tcW w:w="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901CF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20"/>
                <w:szCs w:val="20"/>
              </w:rPr>
              <w:t xml:space="preserve">C15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D46D2C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Controle de alterações vivo</w:t>
            </w:r>
          </w:p>
        </w:tc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5141D9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333333"/>
                <w:sz w:val="20"/>
                <w:szCs w:val="20"/>
              </w:rPr>
              <w:t xml:space="preserve">5%</w:t>
            </w:r>
          </w:p>
        </w:tc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30D1D0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333333"/>
                <w:sz w:val="20"/>
                <w:szCs w:val="20"/>
              </w:rPr>
              <w:t xml:space="preserve">8,0</w:t>
            </w:r>
          </w:p>
        </w:tc>
        <w:tc>
          <w:tcPr>
            <w:tcW w:w="5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8C2999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Duas versões no termo e duas no Documento de Requisitos, com razão declarada, mais cinco ADRs. A linha 1.1 do termo é confusa na redação e não declara impacto em prazo e esforço</w:t>
            </w:r>
          </w:p>
        </w:tc>
      </w:tr>
      <w:tr xmlns:wp14="http://schemas.microsoft.com/office/word/2010/wordml" w:rsidTr="5EBFC3C0" w14:paraId="4CF119E1" wp14:textId="77777777">
        <w:tc>
          <w:tcPr>
            <w:tcW w:w="56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44FB75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20"/>
                <w:szCs w:val="20"/>
              </w:rPr>
              <w:t xml:space="preserve">C16</w:t>
            </w:r>
          </w:p>
        </w:tc>
        <w:tc>
          <w:tcPr>
            <w:tcW w:w="20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ED4E63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Coerência entre documentos</w:t>
            </w:r>
          </w:p>
        </w:tc>
        <w:tc>
          <w:tcPr>
            <w:tcW w:w="7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445D08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333333"/>
                <w:sz w:val="20"/>
                <w:szCs w:val="20"/>
              </w:rPr>
              <w:t xml:space="preserve">5%</w:t>
            </w:r>
          </w:p>
        </w:tc>
        <w:tc>
          <w:tcPr>
            <w:tcW w:w="7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69EC9D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333333"/>
                <w:sz w:val="20"/>
                <w:szCs w:val="20"/>
              </w:rPr>
              <w:t xml:space="preserve">5,5</w:t>
            </w:r>
          </w:p>
        </w:tc>
        <w:tc>
          <w:tcPr>
            <w:tcW w:w="54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BF7C8F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Cinco divergências identificadas — ver a seção 6</w:t>
            </w:r>
          </w:p>
        </w:tc>
      </w:tr>
    </w:tbl>
    <w:p xmlns:wp14="http://schemas.microsoft.com/office/word/2010/wordml" w14:paraId="41C8F396" wp14:textId="77777777">
      <w:r>
        <w:br w:type="page"/>
      </w:r>
    </w:p>
    <w:p xmlns:wp14="http://schemas.microsoft.com/office/word/2010/wordml" w:rsidP="5EBFC3C0" w14:paraId="3621DB3E" wp14:textId="77777777">
      <w:pPr>
        <w:pStyle w:val="Heading1"/>
        <w:pBdr>
          <w:bottom w:val="single" w:color="FFDA1A" w:sz="8" w:space="6"/>
        </w:pBdr>
        <w:spacing w:before="360" w:after="200"/>
      </w:pPr>
      <w:r w:rsidRPr="5EBFC3C0" w:rsidR="5EBFC3C0">
        <w:rPr>
          <w:rFonts w:ascii="Calibri" w:hAnsi="Calibri" w:eastAsia="Calibri" w:cs="Calibri"/>
          <w:b w:val="1"/>
          <w:bCs w:val="1"/>
          <w:color w:val="00695F"/>
          <w:sz w:val="32"/>
          <w:szCs w:val="32"/>
          <w:lang w:val="en-US"/>
        </w:rPr>
        <w:t>6. As cinco divergências</w:t>
      </w:r>
    </w:p>
    <w:tbl>
      <w:tblPr>
        <w:tblW w:w="9360" w:type="dxa"/>
        <w:tblBorders>
          <w:top w:val="single" w:color="C9D6D4" w:sz="4"/>
          <w:left w:val="single" w:color="C9D6D4" w:sz="4"/>
          <w:bottom w:val="single" w:color="C9D6D4" w:sz="4"/>
          <w:right w:val="single" w:color="C9D6D4" w:sz="4"/>
          <w:insideH w:val="single" w:color="C9D6D4" w:sz="4"/>
          <w:insideV w:val="single" w:color="C9D6D4" w:sz="4"/>
        </w:tblBorders>
      </w:tblPr>
      <w:tblGrid>
        <w:gridCol w:w="600"/>
        <w:gridCol w:w="3700"/>
        <w:gridCol w:w="2100"/>
        <w:gridCol w:w="2960"/>
      </w:tblGrid>
      <w:tr xmlns:wp14="http://schemas.microsoft.com/office/word/2010/wordml" w:rsidTr="5EBFC3C0" w14:paraId="406AD598" wp14:textId="77777777">
        <w:trPr>
          <w:tblHeader/>
        </w:trPr>
        <w:tc>
          <w:tcPr>
            <w:tcW w:w="600" w:type="dxa"/>
            <w:shd w:val="clear" w:color="auto" w:fill="00A59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47E9A2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w="3700" w:type="dxa"/>
            <w:shd w:val="clear" w:color="auto" w:fill="00A59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1877F8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1"/>
                <w:bCs w:val="1"/>
                <w:color w:val="FFFFFF"/>
                <w:sz w:val="20"/>
                <w:szCs w:val="20"/>
                <w:lang w:val="en-US"/>
              </w:rPr>
              <w:t>Divergência</w:t>
            </w:r>
          </w:p>
        </w:tc>
        <w:tc>
          <w:tcPr>
            <w:tcW w:w="2100" w:type="dxa"/>
            <w:shd w:val="clear" w:color="auto" w:fill="00A59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3CC426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Onde</w:t>
            </w:r>
          </w:p>
        </w:tc>
        <w:tc>
          <w:tcPr>
            <w:tcW w:w="2960" w:type="dxa"/>
            <w:shd w:val="clear" w:color="auto" w:fill="00A59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EC36C1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1"/>
                <w:bCs w:val="1"/>
                <w:color w:val="FFFFFF"/>
                <w:sz w:val="20"/>
                <w:szCs w:val="20"/>
                <w:lang w:val="en-US"/>
              </w:rPr>
              <w:t>Correção</w:t>
            </w:r>
          </w:p>
        </w:tc>
      </w:tr>
      <w:tr xmlns:wp14="http://schemas.microsoft.com/office/word/2010/wordml" w:rsidTr="5EBFC3C0" w14:paraId="771A3494" wp14:textId="77777777">
        <w:tc>
          <w:tcPr>
            <w:tcW w:w="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9841BE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w="3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3D8567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O comentário da interface afirma que ela está declarada no Domain; o namespace diz Infrastructure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932018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Infrastructure/IConsulta.cs</w:t>
            </w:r>
          </w:p>
        </w:tc>
        <w:tc>
          <w:tcPr>
            <w:tcW w:w="2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EF19DC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Mover o arquivo — ver a seção 3</w:t>
            </w:r>
          </w:p>
        </w:tc>
      </w:tr>
      <w:tr xmlns:wp14="http://schemas.microsoft.com/office/word/2010/wordml" w:rsidTr="5EBFC3C0" w14:paraId="70FDA672" wp14:textId="77777777">
        <w:tc>
          <w:tcPr>
            <w:tcW w:w="6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F999B5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w="37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8F0C2A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A numeração dos critérios salta de CA-05 para CA-07. O CA-06 foi retirado do termo, mas o Documento de Requisitos o cita como existente e divergente, e o RF-03 o referencia</w:t>
            </w:r>
          </w:p>
        </w:tc>
        <w:tc>
          <w:tcPr>
            <w:tcW w:w="21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132C96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Termo seção 5; Requisitos seções 5, 8 e 9</w:t>
            </w:r>
          </w:p>
        </w:tc>
        <w:tc>
          <w:tcPr>
            <w:tcW w:w="296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6D426E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Ou reinserir o CA-06 reescrito em termos de OAuth2, ou renumerar e remover as referências</w:t>
            </w:r>
          </w:p>
        </w:tc>
      </w:tr>
      <w:tr xmlns:wp14="http://schemas.microsoft.com/office/word/2010/wordml" w:rsidTr="5EBFC3C0" w14:paraId="587EEE73" wp14:textId="77777777">
        <w:tc>
          <w:tcPr>
            <w:tcW w:w="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CD5EC4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w="3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235A7A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O escopo excluído do termo afasta a integração com provedores, mas a arquitetura usa IMAP e OAuth2 sobre a conta real do usuário. O Documento de Requisitos reconhece a divergência; o termo não foi atualizado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87C207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Termo seção 3.3</w:t>
            </w:r>
          </w:p>
        </w:tc>
        <w:tc>
          <w:tcPr>
            <w:tcW w:w="2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396DBD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Reescrever a exclusão como «parceria formal com provedores» e registrar a mudança no controle de alterações</w:t>
            </w:r>
          </w:p>
        </w:tc>
      </w:tr>
      <w:tr xmlns:wp14="http://schemas.microsoft.com/office/word/2010/wordml" w:rsidTr="5EBFC3C0" w14:paraId="7D0ADFFE" wp14:textId="77777777">
        <w:tc>
          <w:tcPr>
            <w:tcW w:w="6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98DEE6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w="37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04C683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A capa do termo mantém o cabeçalho do modelo — «Modelo em branco para preenchimento» — e o subtítulo «Devolutiva da Atividade 1»</w:t>
            </w:r>
          </w:p>
        </w:tc>
        <w:tc>
          <w:tcPr>
            <w:tcW w:w="21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1CE5E8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Termo, todas as páginas</w:t>
            </w:r>
          </w:p>
        </w:tc>
        <w:tc>
          <w:tcPr>
            <w:tcW w:w="296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C2A716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Substituir pelo título do projeto</w:t>
            </w:r>
          </w:p>
        </w:tc>
      </w:tr>
      <w:tr xmlns:wp14="http://schemas.microsoft.com/office/word/2010/wordml" w:rsidTr="5EBFC3C0" w14:paraId="6375B09F" wp14:textId="77777777">
        <w:tc>
          <w:tcPr>
            <w:tcW w:w="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941E47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w="3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73F09F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A numeração do Documento de Requisitos salta da seção 10 para a 12; não existe seção 11</w:t>
            </w:r>
          </w:p>
        </w:tc>
        <w:tc>
          <w:tcPr>
            <w:tcW w:w="21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4388A9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Documento de Requisitos</w:t>
            </w:r>
          </w:p>
        </w:tc>
        <w:tc>
          <w:tcPr>
            <w:tcW w:w="2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320BA1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Renumerar</w:t>
            </w:r>
          </w:p>
        </w:tc>
      </w:tr>
    </w:tbl>
    <w:p xmlns:wp14="http://schemas.microsoft.com/office/word/2010/wordml" w14:paraId="72A3D3EC" wp14:textId="77777777">
      <w:r>
        <w:br w:type="page"/>
      </w:r>
    </w:p>
    <w:p xmlns:wp14="http://schemas.microsoft.com/office/word/2010/wordml" w:rsidP="5EBFC3C0" w14:paraId="6C0A5AA7" wp14:textId="77777777">
      <w:pPr>
        <w:pStyle w:val="Heading1"/>
        <w:pBdr>
          <w:bottom w:val="single" w:color="FFDA1A" w:sz="8" w:space="6"/>
        </w:pBdr>
        <w:spacing w:before="360" w:after="200"/>
      </w:pPr>
      <w:r w:rsidRPr="5EBFC3C0" w:rsidR="5EBFC3C0">
        <w:rPr>
          <w:rFonts w:ascii="Calibri" w:hAnsi="Calibri" w:eastAsia="Calibri" w:cs="Calibri"/>
          <w:b w:val="1"/>
          <w:bCs w:val="1"/>
          <w:color w:val="00695F"/>
          <w:sz w:val="32"/>
          <w:szCs w:val="32"/>
          <w:lang w:val="en-US"/>
        </w:rPr>
        <w:t>7. O que corrigir, em ordem de prioridade</w:t>
      </w:r>
    </w:p>
    <w:tbl>
      <w:tblPr>
        <w:tblW w:w="9360" w:type="dxa"/>
        <w:tblBorders>
          <w:top w:val="single" w:color="C9D6D4" w:sz="4"/>
          <w:left w:val="single" w:color="C9D6D4" w:sz="4"/>
          <w:bottom w:val="single" w:color="C9D6D4" w:sz="4"/>
          <w:right w:val="single" w:color="C9D6D4" w:sz="4"/>
          <w:insideH w:val="single" w:color="C9D6D4" w:sz="4"/>
          <w:insideV w:val="single" w:color="C9D6D4" w:sz="4"/>
        </w:tblBorders>
      </w:tblPr>
      <w:tblGrid>
        <w:gridCol w:w="600"/>
        <w:gridCol w:w="4400"/>
        <w:gridCol w:w="2200"/>
        <w:gridCol w:w="2160"/>
      </w:tblGrid>
      <w:tr xmlns:wp14="http://schemas.microsoft.com/office/word/2010/wordml" w:rsidTr="5EBFC3C0" w14:paraId="06A29C1E" wp14:textId="77777777">
        <w:trPr>
          <w:tblHeader/>
        </w:trPr>
        <w:tc>
          <w:tcPr>
            <w:tcW w:w="600" w:type="dxa"/>
            <w:shd w:val="clear" w:color="auto" w:fill="00A59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90B8CC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w="4400" w:type="dxa"/>
            <w:shd w:val="clear" w:color="auto" w:fill="00A59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5590CA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1"/>
                <w:bCs w:val="1"/>
                <w:color w:val="FFFFFF"/>
                <w:sz w:val="20"/>
                <w:szCs w:val="20"/>
                <w:lang w:val="en-US"/>
              </w:rPr>
              <w:t>Ação</w:t>
            </w:r>
          </w:p>
        </w:tc>
        <w:tc>
          <w:tcPr>
            <w:tcW w:w="2200" w:type="dxa"/>
            <w:shd w:val="clear" w:color="auto" w:fill="00A59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C4C1EB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1"/>
                <w:bCs w:val="1"/>
                <w:color w:val="FFFFFF"/>
                <w:sz w:val="20"/>
                <w:szCs w:val="20"/>
                <w:lang w:val="en-US"/>
              </w:rPr>
              <w:t>Critério afetado</w:t>
            </w:r>
          </w:p>
        </w:tc>
        <w:tc>
          <w:tcPr>
            <w:tcW w:w="2160" w:type="dxa"/>
            <w:shd w:val="clear" w:color="auto" w:fill="00A59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E44B52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1"/>
                <w:bCs w:val="1"/>
                <w:color w:val="FFFFFF"/>
                <w:sz w:val="20"/>
                <w:szCs w:val="20"/>
                <w:lang w:val="en-US"/>
              </w:rPr>
              <w:t>Esforço</w:t>
            </w:r>
          </w:p>
        </w:tc>
      </w:tr>
      <w:tr xmlns:wp14="http://schemas.microsoft.com/office/word/2010/wordml" w:rsidTr="5EBFC3C0" w14:paraId="4DEB1D91" wp14:textId="77777777">
        <w:tc>
          <w:tcPr>
            <w:tcW w:w="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B20A0C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w="4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00A29A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Mover IConsulta.cs para Domain, trocar o namespace e remover o using em EmailAnalist.cs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E20CA9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333333"/>
                <w:sz w:val="20"/>
                <w:szCs w:val="20"/>
              </w:rPr>
              <w:t xml:space="preserve">C10, C11, corte T6</w:t>
            </w:r>
          </w:p>
        </w:tc>
        <w:tc>
          <w:tcPr>
            <w:tcW w:w="2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74244E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Um arquivo, três linhas</w:t>
            </w:r>
          </w:p>
        </w:tc>
      </w:tr>
      <w:tr xmlns:wp14="http://schemas.microsoft.com/office/word/2010/wordml" w:rsidTr="5EBFC3C0" w14:paraId="7AB3FD3B" wp14:textId="77777777">
        <w:tc>
          <w:tcPr>
            <w:tcW w:w="6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44751B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w="44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005C64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Estimar o volume de cada coleção: domínios de encurtamento, empresas no index, templates e mensagens por dia do usuário</w:t>
            </w:r>
          </w:p>
        </w:tc>
        <w:tc>
          <w:tcPr>
            <w:tcW w:w="22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B2A167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333333"/>
                <w:sz w:val="20"/>
                <w:szCs w:val="20"/>
              </w:rPr>
              <w:t xml:space="preserve">C6, corte T5</w:t>
            </w:r>
          </w:p>
        </w:tc>
        <w:tc>
          <w:tcPr>
            <w:tcW w:w="216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E28A66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Uma tabela</w:t>
            </w:r>
          </w:p>
        </w:tc>
      </w:tr>
      <w:tr xmlns:wp14="http://schemas.microsoft.com/office/word/2010/wordml" w:rsidTr="5EBFC3C0" w14:paraId="077E9005" wp14:textId="77777777">
        <w:tc>
          <w:tcPr>
            <w:tcW w:w="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778152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w="4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06BBE6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Reescrever a justificativa do banco em termos de operação predominante e volume, substituindo a familiaridade da equipe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055678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333333"/>
                <w:sz w:val="20"/>
                <w:szCs w:val="20"/>
              </w:rPr>
              <w:t xml:space="preserve">C7, C13</w:t>
            </w:r>
          </w:p>
        </w:tc>
        <w:tc>
          <w:tcPr>
            <w:tcW w:w="2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EA6118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Um parágrafo</w:t>
            </w:r>
          </w:p>
        </w:tc>
      </w:tr>
      <w:tr xmlns:wp14="http://schemas.microsoft.com/office/word/2010/wordml" w:rsidTr="5EBFC3C0" w14:paraId="066BBEFF" wp14:textId="77777777">
        <w:tc>
          <w:tcPr>
            <w:tcW w:w="6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9935FF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w="44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4CE5D7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Medir: lista sequencial contra tabela de dispersão no registro de encurtadores, com 10, 100 e 1.000 domínios</w:t>
            </w:r>
          </w:p>
        </w:tc>
        <w:tc>
          <w:tcPr>
            <w:tcW w:w="22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351EBB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333333"/>
                <w:sz w:val="20"/>
                <w:szCs w:val="20"/>
              </w:rPr>
              <w:t xml:space="preserve">C8</w:t>
            </w:r>
          </w:p>
        </w:tc>
        <w:tc>
          <w:tcPr>
            <w:tcW w:w="216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9D3024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Uma tarde</w:t>
            </w:r>
          </w:p>
        </w:tc>
      </w:tr>
      <w:tr xmlns:wp14="http://schemas.microsoft.com/office/word/2010/wordml" w:rsidTr="5EBFC3C0" w14:paraId="465C6E8C" wp14:textId="77777777">
        <w:tc>
          <w:tcPr>
            <w:tcW w:w="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240AAE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w="4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2D27D8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Medir o tempo de análise de uma mensagem e confrontar com os 10 segundos do CA-07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E43F3B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333333"/>
                <w:sz w:val="20"/>
                <w:szCs w:val="20"/>
              </w:rPr>
              <w:t xml:space="preserve">C8, RNF-01</w:t>
            </w:r>
          </w:p>
        </w:tc>
        <w:tc>
          <w:tcPr>
            <w:tcW w:w="2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09226A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333333"/>
                <w:sz w:val="20"/>
                <w:szCs w:val="20"/>
              </w:rPr>
              <w:t xml:space="preserve">Uma hora</w:t>
            </w:r>
          </w:p>
        </w:tc>
      </w:tr>
      <w:tr xmlns:wp14="http://schemas.microsoft.com/office/word/2010/wordml" w:rsidTr="5EBFC3C0" w14:paraId="153AF102" wp14:textId="77777777">
        <w:tc>
          <w:tcPr>
            <w:tcW w:w="6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B4EA11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w="44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F5006A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Resolver o CA-06: reinserir reescrito em OAuth2 ou renumerar e limpar as referências</w:t>
            </w:r>
          </w:p>
        </w:tc>
        <w:tc>
          <w:tcPr>
            <w:tcW w:w="22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5A7067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333333"/>
                <w:sz w:val="20"/>
                <w:szCs w:val="20"/>
              </w:rPr>
              <w:t xml:space="preserve">C5, C16</w:t>
            </w:r>
          </w:p>
        </w:tc>
        <w:tc>
          <w:tcPr>
            <w:tcW w:w="216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5BC2C3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Quinze minutos</w:t>
            </w:r>
          </w:p>
        </w:tc>
      </w:tr>
      <w:tr xmlns:wp14="http://schemas.microsoft.com/office/word/2010/wordml" w:rsidTr="5EBFC3C0" w14:paraId="1451B1BC" wp14:textId="77777777">
        <w:tc>
          <w:tcPr>
            <w:tcW w:w="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697EEC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w="4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29084E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Atualizar a exclusão de integração com provedores no termo e registrar no controle de alterações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F5C9A5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333333"/>
                <w:sz w:val="20"/>
                <w:szCs w:val="20"/>
              </w:rPr>
              <w:t xml:space="preserve">C16</w:t>
            </w:r>
          </w:p>
        </w:tc>
        <w:tc>
          <w:tcPr>
            <w:tcW w:w="2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FB1D47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Um parágrafo</w:t>
            </w:r>
          </w:p>
        </w:tc>
      </w:tr>
      <w:tr xmlns:wp14="http://schemas.microsoft.com/office/word/2010/wordml" w:rsidTr="5EBFC3C0" w14:paraId="0C498F07" wp14:textId="77777777">
        <w:tc>
          <w:tcPr>
            <w:tcW w:w="6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B0A208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w="44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06C043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Registrar as respostas do roteiro de entrevista, com data e identificação da fonte, ainda que autoentrevista</w:t>
            </w:r>
          </w:p>
        </w:tc>
        <w:tc>
          <w:tcPr>
            <w:tcW w:w="22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0BE37D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333333"/>
                <w:sz w:val="20"/>
                <w:szCs w:val="20"/>
              </w:rPr>
              <w:t xml:space="preserve">C1, C2</w:t>
            </w:r>
          </w:p>
        </w:tc>
        <w:tc>
          <w:tcPr>
            <w:tcW w:w="216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49FF99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333333"/>
                <w:sz w:val="20"/>
                <w:szCs w:val="20"/>
              </w:rPr>
              <w:t xml:space="preserve">Uma hora</w:t>
            </w:r>
          </w:p>
        </w:tc>
      </w:tr>
      <w:tr xmlns:wp14="http://schemas.microsoft.com/office/word/2010/wordml" w:rsidTr="5EBFC3C0" w14:paraId="485A5A52" wp14:textId="77777777">
        <w:tc>
          <w:tcPr>
            <w:tcW w:w="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2B7304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w="4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202CBE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Acrescentar ao csproj o pacote de execução de testes, ou documentar no leiame que a suíte roda por dotnet run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CCF020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333333"/>
                <w:sz w:val="20"/>
                <w:szCs w:val="20"/>
              </w:rPr>
              <w:t xml:space="preserve">C12</w:t>
            </w:r>
          </w:p>
        </w:tc>
        <w:tc>
          <w:tcPr>
            <w:tcW w:w="2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CE8EC1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Uma linha</w:t>
            </w:r>
          </w:p>
        </w:tc>
      </w:tr>
      <w:tr xmlns:wp14="http://schemas.microsoft.com/office/word/2010/wordml" w:rsidTr="5EBFC3C0" w14:paraId="4A4200FB" wp14:textId="77777777">
        <w:tc>
          <w:tcPr>
            <w:tcW w:w="6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369756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w="44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A05B90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Corrigir o cabeçalho do termo e a numeração do Documento de Requisitos</w:t>
            </w:r>
          </w:p>
        </w:tc>
        <w:tc>
          <w:tcPr>
            <w:tcW w:w="22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BF0020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333333"/>
                <w:sz w:val="20"/>
                <w:szCs w:val="20"/>
              </w:rPr>
              <w:t xml:space="preserve">C16</w:t>
            </w:r>
          </w:p>
        </w:tc>
        <w:tc>
          <w:tcPr>
            <w:tcW w:w="216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1F04EA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Dez minutos</w:t>
            </w:r>
          </w:p>
        </w:tc>
      </w:tr>
    </w:tbl>
    <w:tbl>
      <w:tblPr>
        <w:tblW w:w="9360" w:type="dxa"/>
        <w:tblBorders>
          <w:top w:val="single" w:color="00A59A" w:sz="4"/>
          <w:left w:val="single" w:color="00A59A" w:sz="18"/>
          <w:bottom w:val="single" w:color="00A59A" w:sz="4"/>
          <w:right w:val="single" w:color="00A59A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EBFC3C0" w14:paraId="41ACBDFC" wp14:textId="77777777">
        <w:trPr>
          <w:cantSplit/>
        </w:trPr>
        <w:tc>
          <w:tcPr>
            <w:tcW w:w="9360" w:type="dxa"/>
            <w:shd w:val="clear" w:color="auto" w:fill="F2F4F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A7FDFC6" wp14:textId="77777777">
            <w:pPr>
              <w:spacing w:after="90"/>
            </w:pPr>
            <w:r w:rsidRPr="5EBFC3C0" w:rsidR="5EBFC3C0">
              <w:rPr>
                <w:rFonts w:ascii="Calibri" w:hAnsi="Calibri" w:eastAsia="Calibri" w:cs="Calibri"/>
                <w:b w:val="1"/>
                <w:bCs w:val="1"/>
                <w:color w:val="00695F"/>
                <w:sz w:val="21"/>
                <w:szCs w:val="21"/>
                <w:lang w:val="en-US"/>
              </w:rPr>
              <w:t>Projeção</w:t>
            </w:r>
          </w:p>
          <w:p w14:paraId="59E48859" wp14:textId="2B408123">
            <w:pPr>
              <w:spacing w:after="70" w:line="264" w:lineRule="auto"/>
              <w:jc w:val="both"/>
            </w:pPr>
            <w:r w:rsidRPr="5EBFC3C0" w:rsidR="5EBFC3C0">
              <w:rPr>
                <w:rFonts w:ascii="Calibri" w:hAnsi="Calibri" w:eastAsia="Calibri" w:cs="Calibri"/>
                <w:color w:val="333333"/>
                <w:sz w:val="22"/>
                <w:szCs w:val="22"/>
                <w:lang w:val="en-US"/>
              </w:rPr>
              <w:t xml:space="preserve">A </w:t>
            </w:r>
            <w:r w:rsidRPr="5EBFC3C0" w:rsidR="5EBFC3C0">
              <w:rPr>
                <w:rFonts w:ascii="Calibri" w:hAnsi="Calibri" w:eastAsia="Calibri" w:cs="Calibri"/>
                <w:color w:val="333333"/>
                <w:sz w:val="22"/>
                <w:szCs w:val="22"/>
                <w:lang w:val="en-US"/>
              </w:rPr>
              <w:t>ação</w:t>
            </w:r>
            <w:r w:rsidRPr="5EBFC3C0" w:rsidR="5EBFC3C0">
              <w:rPr>
                <w:rFonts w:ascii="Calibri" w:hAnsi="Calibri" w:eastAsia="Calibri" w:cs="Calibri"/>
                <w:color w:val="333333"/>
                <w:sz w:val="22"/>
                <w:szCs w:val="22"/>
                <w:lang w:val="en-US"/>
              </w:rPr>
              <w:t xml:space="preserve"> 1 </w:t>
            </w:r>
            <w:r w:rsidRPr="5EBFC3C0" w:rsidR="5EBFC3C0">
              <w:rPr>
                <w:rFonts w:ascii="Calibri" w:hAnsi="Calibri" w:eastAsia="Calibri" w:cs="Calibri"/>
                <w:color w:val="333333"/>
                <w:sz w:val="22"/>
                <w:szCs w:val="22"/>
                <w:lang w:val="en-US"/>
              </w:rPr>
              <w:t>sozinha</w:t>
            </w:r>
            <w:r w:rsidRPr="5EBFC3C0" w:rsidR="5EBFC3C0">
              <w:rPr>
                <w:rFonts w:ascii="Calibri" w:hAnsi="Calibri" w:eastAsia="Calibri" w:cs="Calibri"/>
                <w:color w:val="333333"/>
                <w:sz w:val="22"/>
                <w:szCs w:val="22"/>
                <w:lang w:val="en-US"/>
              </w:rPr>
              <w:t xml:space="preserve"> levaria a nota de 6,49 para 7,12. É </w:t>
            </w:r>
            <w:r w:rsidRPr="5EBFC3C0" w:rsidR="5EBFC3C0">
              <w:rPr>
                <w:rFonts w:ascii="Calibri" w:hAnsi="Calibri" w:eastAsia="Calibri" w:cs="Calibri"/>
                <w:color w:val="333333"/>
                <w:sz w:val="22"/>
                <w:szCs w:val="22"/>
                <w:lang w:val="en-US"/>
              </w:rPr>
              <w:t>literalmente</w:t>
            </w:r>
            <w:r w:rsidRPr="5EBFC3C0" w:rsidR="5EBFC3C0">
              <w:rPr>
                <w:rFonts w:ascii="Calibri" w:hAnsi="Calibri" w:eastAsia="Calibri" w:cs="Calibri"/>
                <w:color w:val="333333"/>
                <w:sz w:val="22"/>
                <w:szCs w:val="22"/>
                <w:lang w:val="en-US"/>
              </w:rPr>
              <w:t xml:space="preserve"> mover um </w:t>
            </w:r>
            <w:r w:rsidRPr="5EBFC3C0" w:rsidR="5EBFC3C0">
              <w:rPr>
                <w:rFonts w:ascii="Calibri" w:hAnsi="Calibri" w:eastAsia="Calibri" w:cs="Calibri"/>
                <w:color w:val="333333"/>
                <w:sz w:val="22"/>
                <w:szCs w:val="22"/>
                <w:lang w:val="en-US"/>
              </w:rPr>
              <w:t>arquivo</w:t>
            </w:r>
            <w:r w:rsidRPr="5EBFC3C0" w:rsidR="5EBFC3C0">
              <w:rPr>
                <w:rFonts w:ascii="Calibri" w:hAnsi="Calibri" w:eastAsia="Calibri" w:cs="Calibri"/>
                <w:color w:val="333333"/>
                <w:sz w:val="22"/>
                <w:szCs w:val="22"/>
                <w:lang w:val="en-US"/>
              </w:rPr>
              <w:t xml:space="preserve"> de pasta.</w:t>
            </w:r>
          </w:p>
          <w:p w14:paraId="0A77CB9C" wp14:textId="15BFD668">
            <w:pPr>
              <w:spacing w:after="0" w:line="264" w:lineRule="auto"/>
              <w:jc w:val="both"/>
            </w:pPr>
            <w:r w:rsidRPr="5EBFC3C0" w:rsidR="5EBFC3C0">
              <w:rPr>
                <w:rFonts w:ascii="Calibri" w:hAnsi="Calibri" w:eastAsia="Calibri" w:cs="Calibri"/>
                <w:color w:val="333333"/>
                <w:sz w:val="22"/>
                <w:szCs w:val="22"/>
                <w:lang w:val="en-US"/>
              </w:rPr>
              <w:t xml:space="preserve">Com as </w:t>
            </w:r>
            <w:r w:rsidRPr="5EBFC3C0" w:rsidR="5EBFC3C0">
              <w:rPr>
                <w:rFonts w:ascii="Calibri" w:hAnsi="Calibri" w:eastAsia="Calibri" w:cs="Calibri"/>
                <w:color w:val="333333"/>
                <w:sz w:val="22"/>
                <w:szCs w:val="22"/>
                <w:lang w:val="en-US"/>
              </w:rPr>
              <w:t>ações</w:t>
            </w:r>
            <w:r w:rsidRPr="5EBFC3C0" w:rsidR="5EBFC3C0">
              <w:rPr>
                <w:rFonts w:ascii="Calibri" w:hAnsi="Calibri" w:eastAsia="Calibri" w:cs="Calibri"/>
                <w:color w:val="333333"/>
                <w:sz w:val="22"/>
                <w:szCs w:val="22"/>
                <w:lang w:val="en-US"/>
              </w:rPr>
              <w:t xml:space="preserve"> 2 a 5, </w:t>
            </w:r>
            <w:r w:rsidRPr="5EBFC3C0" w:rsidR="5EBFC3C0">
              <w:rPr>
                <w:rFonts w:ascii="Calibri" w:hAnsi="Calibri" w:eastAsia="Calibri" w:cs="Calibri"/>
                <w:color w:val="333333"/>
                <w:sz w:val="22"/>
                <w:szCs w:val="22"/>
                <w:lang w:val="en-US"/>
              </w:rPr>
              <w:t>que</w:t>
            </w:r>
            <w:r w:rsidRPr="5EBFC3C0" w:rsidR="5EBFC3C0">
              <w:rPr>
                <w:rFonts w:ascii="Calibri" w:hAnsi="Calibri" w:eastAsia="Calibri" w:cs="Calibri"/>
                <w:color w:val="333333"/>
                <w:sz w:val="22"/>
                <w:szCs w:val="22"/>
                <w:lang w:val="en-US"/>
              </w:rPr>
              <w:t xml:space="preserve"> </w:t>
            </w:r>
            <w:r w:rsidRPr="5EBFC3C0" w:rsidR="5EBFC3C0">
              <w:rPr>
                <w:rFonts w:ascii="Calibri" w:hAnsi="Calibri" w:eastAsia="Calibri" w:cs="Calibri"/>
                <w:color w:val="333333"/>
                <w:sz w:val="22"/>
                <w:szCs w:val="22"/>
                <w:lang w:val="en-US"/>
              </w:rPr>
              <w:t>reconstituem</w:t>
            </w:r>
            <w:r w:rsidRPr="5EBFC3C0" w:rsidR="5EBFC3C0">
              <w:rPr>
                <w:rFonts w:ascii="Calibri" w:hAnsi="Calibri" w:eastAsia="Calibri" w:cs="Calibri"/>
                <w:color w:val="333333"/>
                <w:sz w:val="22"/>
                <w:szCs w:val="22"/>
                <w:lang w:val="en-US"/>
              </w:rPr>
              <w:t xml:space="preserve"> a Fase 2, a nota </w:t>
            </w:r>
            <w:r w:rsidRPr="5EBFC3C0" w:rsidR="5EBFC3C0">
              <w:rPr>
                <w:rFonts w:ascii="Calibri" w:hAnsi="Calibri" w:eastAsia="Calibri" w:cs="Calibri"/>
                <w:color w:val="333333"/>
                <w:sz w:val="22"/>
                <w:szCs w:val="22"/>
                <w:lang w:val="en-US"/>
              </w:rPr>
              <w:t>chegaria</w:t>
            </w:r>
            <w:r w:rsidRPr="5EBFC3C0" w:rsidR="5EBFC3C0">
              <w:rPr>
                <w:rFonts w:ascii="Calibri" w:hAnsi="Calibri" w:eastAsia="Calibri" w:cs="Calibri"/>
                <w:color w:val="333333"/>
                <w:sz w:val="22"/>
                <w:szCs w:val="22"/>
                <w:lang w:val="en-US"/>
              </w:rPr>
              <w:t xml:space="preserve"> </w:t>
            </w:r>
            <w:r w:rsidRPr="5EBFC3C0" w:rsidR="5EBFC3C0">
              <w:rPr>
                <w:rFonts w:ascii="Calibri" w:hAnsi="Calibri" w:eastAsia="Calibri" w:cs="Calibri"/>
                <w:color w:val="333333"/>
                <w:sz w:val="22"/>
                <w:szCs w:val="22"/>
                <w:lang w:val="en-US"/>
              </w:rPr>
              <w:t>a</w:t>
            </w:r>
            <w:r w:rsidRPr="5EBFC3C0" w:rsidR="5EBFC3C0">
              <w:rPr>
                <w:rFonts w:ascii="Calibri" w:hAnsi="Calibri" w:eastAsia="Calibri" w:cs="Calibri"/>
                <w:color w:val="333333"/>
                <w:sz w:val="22"/>
                <w:szCs w:val="22"/>
                <w:lang w:val="en-US"/>
              </w:rPr>
              <w:t xml:space="preserve"> </w:t>
            </w:r>
            <w:r w:rsidRPr="5EBFC3C0" w:rsidR="5EBFC3C0">
              <w:rPr>
                <w:rFonts w:ascii="Calibri" w:hAnsi="Calibri" w:eastAsia="Calibri" w:cs="Calibri"/>
                <w:color w:val="333333"/>
                <w:sz w:val="22"/>
                <w:szCs w:val="22"/>
                <w:lang w:val="en-US"/>
              </w:rPr>
              <w:t>aproximadamente</w:t>
            </w:r>
            <w:r w:rsidRPr="5EBFC3C0" w:rsidR="5EBFC3C0">
              <w:rPr>
                <w:rFonts w:ascii="Calibri" w:hAnsi="Calibri" w:eastAsia="Calibri" w:cs="Calibri"/>
                <w:color w:val="333333"/>
                <w:sz w:val="22"/>
                <w:szCs w:val="22"/>
                <w:lang w:val="en-US"/>
              </w:rPr>
              <w:t xml:space="preserve"> 8,28. Esse </w:t>
            </w:r>
            <w:r w:rsidRPr="5EBFC3C0" w:rsidR="5EBFC3C0">
              <w:rPr>
                <w:rFonts w:ascii="Calibri" w:hAnsi="Calibri" w:eastAsia="Calibri" w:cs="Calibri"/>
                <w:color w:val="333333"/>
                <w:sz w:val="22"/>
                <w:szCs w:val="22"/>
                <w:lang w:val="en-US"/>
              </w:rPr>
              <w:t>bloco</w:t>
            </w:r>
            <w:r w:rsidRPr="5EBFC3C0" w:rsidR="5EBFC3C0">
              <w:rPr>
                <w:rFonts w:ascii="Calibri" w:hAnsi="Calibri" w:eastAsia="Calibri" w:cs="Calibri"/>
                <w:color w:val="333333"/>
                <w:sz w:val="22"/>
                <w:szCs w:val="22"/>
                <w:lang w:val="en-US"/>
              </w:rPr>
              <w:t xml:space="preserve"> é o </w:t>
            </w:r>
            <w:r w:rsidRPr="5EBFC3C0" w:rsidR="5EBFC3C0">
              <w:rPr>
                <w:rFonts w:ascii="Calibri" w:hAnsi="Calibri" w:eastAsia="Calibri" w:cs="Calibri"/>
                <w:color w:val="333333"/>
                <w:sz w:val="22"/>
                <w:szCs w:val="22"/>
                <w:lang w:val="en-US"/>
              </w:rPr>
              <w:t>único</w:t>
            </w:r>
            <w:r w:rsidRPr="5EBFC3C0" w:rsidR="5EBFC3C0">
              <w:rPr>
                <w:rFonts w:ascii="Calibri" w:hAnsi="Calibri" w:eastAsia="Calibri" w:cs="Calibri"/>
                <w:color w:val="333333"/>
                <w:sz w:val="22"/>
                <w:szCs w:val="22"/>
                <w:lang w:val="en-US"/>
              </w:rPr>
              <w:t xml:space="preserve"> </w:t>
            </w:r>
            <w:r w:rsidRPr="5EBFC3C0" w:rsidR="5EBFC3C0">
              <w:rPr>
                <w:rFonts w:ascii="Calibri" w:hAnsi="Calibri" w:eastAsia="Calibri" w:cs="Calibri"/>
                <w:color w:val="333333"/>
                <w:sz w:val="22"/>
                <w:szCs w:val="22"/>
                <w:lang w:val="en-US"/>
              </w:rPr>
              <w:t>que</w:t>
            </w:r>
            <w:r w:rsidRPr="5EBFC3C0" w:rsidR="5EBFC3C0">
              <w:rPr>
                <w:rFonts w:ascii="Calibri" w:hAnsi="Calibri" w:eastAsia="Calibri" w:cs="Calibri"/>
                <w:color w:val="333333"/>
                <w:sz w:val="22"/>
                <w:szCs w:val="22"/>
                <w:lang w:val="en-US"/>
              </w:rPr>
              <w:t xml:space="preserve"> </w:t>
            </w:r>
            <w:r w:rsidRPr="5EBFC3C0" w:rsidR="5EBFC3C0">
              <w:rPr>
                <w:rFonts w:ascii="Calibri" w:hAnsi="Calibri" w:eastAsia="Calibri" w:cs="Calibri"/>
                <w:color w:val="333333"/>
                <w:sz w:val="22"/>
                <w:szCs w:val="22"/>
                <w:lang w:val="en-US"/>
              </w:rPr>
              <w:t>hoje</w:t>
            </w:r>
            <w:r w:rsidRPr="5EBFC3C0" w:rsidR="5EBFC3C0">
              <w:rPr>
                <w:rFonts w:ascii="Calibri" w:hAnsi="Calibri" w:eastAsia="Calibri" w:cs="Calibri"/>
                <w:color w:val="333333"/>
                <w:sz w:val="22"/>
                <w:szCs w:val="22"/>
                <w:lang w:val="en-US"/>
              </w:rPr>
              <w:t xml:space="preserve"> </w:t>
            </w:r>
            <w:r w:rsidRPr="5EBFC3C0" w:rsidR="5EBFC3C0">
              <w:rPr>
                <w:rFonts w:ascii="Calibri" w:hAnsi="Calibri" w:eastAsia="Calibri" w:cs="Calibri"/>
                <w:color w:val="333333"/>
                <w:sz w:val="22"/>
                <w:szCs w:val="22"/>
                <w:lang w:val="en-US"/>
              </w:rPr>
              <w:t>puxa</w:t>
            </w:r>
            <w:r w:rsidRPr="5EBFC3C0" w:rsidR="5EBFC3C0">
              <w:rPr>
                <w:rFonts w:ascii="Calibri" w:hAnsi="Calibri" w:eastAsia="Calibri" w:cs="Calibri"/>
                <w:color w:val="333333"/>
                <w:sz w:val="22"/>
                <w:szCs w:val="22"/>
                <w:lang w:val="en-US"/>
              </w:rPr>
              <w:t xml:space="preserve"> </w:t>
            </w:r>
            <w:r w:rsidRPr="5EBFC3C0" w:rsidR="5EBFC3C0">
              <w:rPr>
                <w:rFonts w:ascii="Calibri" w:hAnsi="Calibri" w:eastAsia="Calibri" w:cs="Calibri"/>
                <w:color w:val="333333"/>
                <w:sz w:val="22"/>
                <w:szCs w:val="22"/>
                <w:lang w:val="en-US"/>
              </w:rPr>
              <w:t>a</w:t>
            </w:r>
            <w:r w:rsidRPr="5EBFC3C0" w:rsidR="5EBFC3C0">
              <w:rPr>
                <w:rFonts w:ascii="Calibri" w:hAnsi="Calibri" w:eastAsia="Calibri" w:cs="Calibri"/>
                <w:color w:val="333333"/>
                <w:sz w:val="22"/>
                <w:szCs w:val="22"/>
                <w:lang w:val="en-US"/>
              </w:rPr>
              <w:t xml:space="preserve"> </w:t>
            </w:r>
            <w:r w:rsidRPr="5EBFC3C0" w:rsidR="5EBFC3C0">
              <w:rPr>
                <w:rFonts w:ascii="Calibri" w:hAnsi="Calibri" w:eastAsia="Calibri" w:cs="Calibri"/>
                <w:color w:val="333333"/>
                <w:sz w:val="22"/>
                <w:szCs w:val="22"/>
                <w:lang w:val="en-US"/>
              </w:rPr>
              <w:t>entrega</w:t>
            </w:r>
            <w:r w:rsidRPr="5EBFC3C0" w:rsidR="5EBFC3C0">
              <w:rPr>
                <w:rFonts w:ascii="Calibri" w:hAnsi="Calibri" w:eastAsia="Calibri" w:cs="Calibri"/>
                <w:color w:val="333333"/>
                <w:sz w:val="22"/>
                <w:szCs w:val="22"/>
                <w:lang w:val="en-US"/>
              </w:rPr>
              <w:t xml:space="preserve"> para </w:t>
            </w:r>
            <w:r w:rsidRPr="5EBFC3C0" w:rsidR="5EBFC3C0">
              <w:rPr>
                <w:rFonts w:ascii="Calibri" w:hAnsi="Calibri" w:eastAsia="Calibri" w:cs="Calibri"/>
                <w:color w:val="333333"/>
                <w:sz w:val="22"/>
                <w:szCs w:val="22"/>
                <w:lang w:val="en-US"/>
              </w:rPr>
              <w:t>baixo</w:t>
            </w:r>
            <w:r w:rsidRPr="5EBFC3C0" w:rsidR="5EBFC3C0">
              <w:rPr>
                <w:rFonts w:ascii="Calibri" w:hAnsi="Calibri" w:eastAsia="Calibri" w:cs="Calibri"/>
                <w:color w:val="333333"/>
                <w:sz w:val="22"/>
                <w:szCs w:val="22"/>
                <w:lang w:val="en-US"/>
              </w:rPr>
              <w:t>.</w:t>
            </w:r>
          </w:p>
        </w:tc>
      </w:tr>
    </w:tbl>
    <w:p xmlns:wp14="http://schemas.microsoft.com/office/word/2010/wordml" w:rsidP="5EBFC3C0" w14:paraId="5FD226E1" wp14:textId="77777777">
      <w:pPr>
        <w:pStyle w:val="Heading1"/>
        <w:pBdr>
          <w:bottom w:val="single" w:color="FFDA1A" w:sz="8" w:space="6"/>
        </w:pBdr>
        <w:spacing w:before="360" w:after="200"/>
      </w:pPr>
      <w:r w:rsidRPr="5EBFC3C0" w:rsidR="5EBFC3C0">
        <w:rPr>
          <w:rFonts w:ascii="Calibri" w:hAnsi="Calibri" w:eastAsia="Calibri" w:cs="Calibri"/>
          <w:b w:val="1"/>
          <w:bCs w:val="1"/>
          <w:color w:val="00695F"/>
          <w:sz w:val="32"/>
          <w:szCs w:val="32"/>
          <w:lang w:val="en-US"/>
        </w:rPr>
        <w:t>8. Encaminhamento</w:t>
      </w:r>
    </w:p>
    <w:tbl>
      <w:tblPr>
        <w:tblW w:w="9360" w:type="dxa"/>
        <w:tblBorders>
          <w:top w:val="single" w:color="C9D6D4" w:sz="4"/>
          <w:left w:val="single" w:color="C9D6D4" w:sz="4"/>
          <w:bottom w:val="single" w:color="C9D6D4" w:sz="4"/>
          <w:right w:val="single" w:color="C9D6D4" w:sz="4"/>
          <w:insideH w:val="single" w:color="C9D6D4" w:sz="4"/>
          <w:insideV w:val="single" w:color="C9D6D4" w:sz="4"/>
        </w:tblBorders>
      </w:tblPr>
      <w:tblGrid>
        <w:gridCol w:w="2600"/>
        <w:gridCol w:w="6760"/>
      </w:tblGrid>
      <w:tr xmlns:wp14="http://schemas.microsoft.com/office/word/2010/wordml" w:rsidTr="5EBFC3C0" w14:paraId="1297B130" wp14:textId="77777777">
        <w:trPr>
          <w:tblHeader/>
        </w:trPr>
        <w:tc>
          <w:tcPr>
            <w:tcW w:w="2600" w:type="dxa"/>
            <w:shd w:val="clear" w:color="auto" w:fill="00A59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8EA27F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w="6760" w:type="dxa"/>
            <w:shd w:val="clear" w:color="auto" w:fill="00A59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1E8CD1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Registro</w:t>
            </w:r>
          </w:p>
        </w:tc>
      </w:tr>
      <w:tr xmlns:wp14="http://schemas.microsoft.com/office/word/2010/wordml" w:rsidTr="5EBFC3C0" w14:paraId="0CC48EB4" wp14:textId="77777777"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BFA881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1"/>
                <w:bCs w:val="1"/>
                <w:color w:val="333333"/>
                <w:sz w:val="20"/>
                <w:szCs w:val="20"/>
                <w:lang w:val="en-US"/>
              </w:rPr>
              <w:t>Nota do andamento</w:t>
            </w:r>
          </w:p>
        </w:tc>
        <w:tc>
          <w:tcPr>
            <w:tcW w:w="6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B0A4A9" wp14:textId="77777777">
            <w:pPr>
              <w:spacing w:after="0" w:line="250"/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333333"/>
                <w:sz w:val="20"/>
                <w:szCs w:val="20"/>
              </w:rPr>
              <w:t xml:space="preserve">6,49</w:t>
            </w:r>
          </w:p>
        </w:tc>
      </w:tr>
      <w:tr xmlns:wp14="http://schemas.microsoft.com/office/word/2010/wordml" w:rsidTr="5EBFC3C0" w14:paraId="43323380" wp14:textId="77777777">
        <w:tc>
          <w:tcPr>
            <w:tcW w:w="26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48013D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1"/>
                <w:bCs w:val="1"/>
                <w:color w:val="333333"/>
                <w:sz w:val="20"/>
                <w:szCs w:val="20"/>
                <w:lang w:val="en-US"/>
              </w:rPr>
              <w:t>Situação</w:t>
            </w:r>
          </w:p>
        </w:tc>
        <w:tc>
          <w:tcPr>
            <w:tcW w:w="676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2BD221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Avanço condicionado, com retorno parcial à Fase 2</w:t>
            </w:r>
          </w:p>
        </w:tc>
      </w:tr>
      <w:tr xmlns:wp14="http://schemas.microsoft.com/office/word/2010/wordml" w:rsidTr="5EBFC3C0" w14:paraId="31C76180" wp14:textId="77777777"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7C1CFB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1"/>
                <w:bCs w:val="1"/>
                <w:color w:val="333333"/>
                <w:sz w:val="20"/>
                <w:szCs w:val="20"/>
                <w:lang w:val="en-US"/>
              </w:rPr>
              <w:t>Critérios abaixo de 5,0</w:t>
            </w:r>
          </w:p>
        </w:tc>
        <w:tc>
          <w:tcPr>
            <w:tcW w:w="6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7DED58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C6 (3,5), C7 (3,0) e C8 (2,0) — todos do bloco de decisões técnicas</w:t>
            </w:r>
          </w:p>
        </w:tc>
      </w:tr>
      <w:tr xmlns:wp14="http://schemas.microsoft.com/office/word/2010/wordml" w:rsidTr="5EBFC3C0" w14:paraId="0C95ECC5" wp14:textId="77777777">
        <w:tc>
          <w:tcPr>
            <w:tcW w:w="26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48294C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1"/>
                <w:bCs w:val="1"/>
                <w:color w:val="333333"/>
                <w:sz w:val="20"/>
                <w:szCs w:val="20"/>
                <w:lang w:val="en-US"/>
              </w:rPr>
              <w:t>Cortes negativos</w:t>
            </w:r>
          </w:p>
        </w:tc>
        <w:tc>
          <w:tcPr>
            <w:tcW w:w="676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0CE483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T5 e T6. O T6 se resolve com a ação 1; o T5 decorre da Fase 2 não executada</w:t>
            </w:r>
          </w:p>
        </w:tc>
      </w:tr>
      <w:tr xmlns:wp14="http://schemas.microsoft.com/office/word/2010/wordml" w:rsidTr="5EBFC3C0" w14:paraId="2D34335B" wp14:textId="77777777"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AAEC73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1"/>
                <w:bCs w:val="1"/>
                <w:color w:val="333333"/>
                <w:sz w:val="20"/>
                <w:szCs w:val="20"/>
                <w:lang w:val="en-US"/>
              </w:rPr>
              <w:t>Não verificável no ambiente</w:t>
            </w:r>
          </w:p>
        </w:tc>
        <w:tc>
          <w:tcPr>
            <w:tcW w:w="6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6510B0" wp14:textId="50688866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Execução</w:t>
            </w: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 xml:space="preserve"> da </w:t>
            </w: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suíte</w:t>
            </w: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 xml:space="preserve">. </w:t>
            </w: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Os</w:t>
            </w: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 xml:space="preserve"> doze </w:t>
            </w: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cenários</w:t>
            </w: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 xml:space="preserve"> </w:t>
            </w: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foram</w:t>
            </w: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 xml:space="preserve"> </w:t>
            </w: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conferidos</w:t>
            </w: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 xml:space="preserve"> </w:t>
            </w: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por</w:t>
            </w: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 xml:space="preserve"> </w:t>
            </w: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porte</w:t>
            </w: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 xml:space="preserve"> da </w:t>
            </w: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lógica</w:t>
            </w:r>
          </w:p>
        </w:tc>
      </w:tr>
      <w:tr xmlns:wp14="http://schemas.microsoft.com/office/word/2010/wordml" w:rsidTr="5EBFC3C0" w14:paraId="19CCFA9A" wp14:textId="77777777">
        <w:tc>
          <w:tcPr>
            <w:tcW w:w="260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036DF6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1"/>
                <w:bCs w:val="1"/>
                <w:color w:val="333333"/>
                <w:sz w:val="20"/>
                <w:szCs w:val="20"/>
                <w:lang w:val="en-US"/>
              </w:rPr>
              <w:t>Prazo da pendência</w:t>
            </w:r>
          </w:p>
        </w:tc>
        <w:tc>
          <w:tcPr>
            <w:tcW w:w="6760" w:type="dxa"/>
            <w:shd w:val="clear" w:color="auto" w:fill="F2F4F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20310E" wp14:textId="77777777">
            <w:pPr>
              <w:spacing w:after="0" w:line="250" w:lineRule="auto"/>
              <w:jc w:val="left"/>
            </w:pPr>
            <w:r w:rsidRPr="5EBFC3C0" w:rsidR="5EBFC3C0">
              <w:rPr>
                <w:rFonts w:ascii="Calibri" w:hAnsi="Calibri" w:eastAsia="Calibri" w:cs="Calibri"/>
                <w:b w:val="0"/>
                <w:bCs w:val="0"/>
                <w:color w:val="333333"/>
                <w:sz w:val="20"/>
                <w:szCs w:val="20"/>
                <w:lang w:val="en-US"/>
              </w:rPr>
              <w:t>Ações 1 a 3 até a aula seguinte; ações 4 e 5 antes de iniciar a Fase 4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18" w:right="1276" w:bottom="1276" w:left="1276" w:header="680" w:footer="566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5EBFC3C0" w14:paraId="2CDC1072" wp14:textId="77777777">
    <w:pPr>
      <w:jc w:val="center"/>
      <w:rPr>
        <w:lang w:val="en-US"/>
      </w:rPr>
    </w:pPr>
    <w:r w:rsidRPr="5EBFC3C0" w:rsidR="5EBFC3C0">
      <w:rPr>
        <w:rFonts w:ascii="Calibri" w:hAnsi="Calibri" w:eastAsia="Calibri" w:cs="Calibri"/>
        <w:color w:val="5A5A5A"/>
        <w:sz w:val="16"/>
        <w:szCs w:val="16"/>
        <w:lang w:val="en-US"/>
      </w:rPr>
      <w:t xml:space="preserve">UNIASSELVI — Engenharia de Software   |   Página </w:t>
    </w:r>
    <w:r w:rsidRPr="5EBFC3C0">
      <w:rPr>
        <w:rFonts w:ascii="Calibri" w:hAnsi="Calibri" w:eastAsia="Calibri" w:cs="Calibri"/>
        <w:color w:val="5A5A5A"/>
        <w:sz w:val="16"/>
        <w:szCs w:val="16"/>
        <w:lang w:val="en-US"/>
      </w:rPr>
      <w:fldChar w:fldCharType="begin"/>
    </w:r>
    <w:r w:rsidRPr="5EBFC3C0">
      <w:rPr>
        <w:rFonts w:ascii="Calibri" w:hAnsi="Calibri" w:eastAsia="Calibri" w:cs="Calibri"/>
        <w:color w:val="5A5A5A"/>
        <w:sz w:val="16"/>
        <w:szCs w:val="16"/>
      </w:rPr>
      <w:instrText xml:space="preserve">PAGE</w:instrText>
    </w:r>
    <w:r w:rsidRPr="5EBFC3C0">
      <w:rPr>
        <w:rFonts w:ascii="Calibri" w:hAnsi="Calibri" w:eastAsia="Calibri" w:cs="Calibri"/>
        <w:color w:val="5A5A5A"/>
        <w:sz w:val="16"/>
        <w:szCs w:val="16"/>
      </w:rPr>
      <w:fldChar w:fldCharType="separate"/>
    </w:r>
    <w:r w:rsidRPr="5EBFC3C0">
      <w:rPr>
        <w:rFonts w:ascii="Calibri" w:hAnsi="Calibri" w:eastAsia="Calibri" w:cs="Calibri"/>
        <w:color w:val="5A5A5A"/>
        <w:sz w:val="16"/>
        <w:szCs w:val="16"/>
        <w:lang w:val="en-US"/>
      </w:rPr>
      <w:fldChar w:fldCharType="end"/>
    </w:r>
    <w:r w:rsidRPr="5EBFC3C0" w:rsidR="5EBFC3C0">
      <w:rPr>
        <w:rFonts w:ascii="Calibri" w:hAnsi="Calibri" w:eastAsia="Calibri" w:cs="Calibri"/>
        <w:color w:val="5A5A5A"/>
        <w:sz w:val="16"/>
        <w:szCs w:val="16"/>
        <w:lang w:val="en-US"/>
      </w:rPr>
      <w:t xml:space="preserve"> de </w:t>
    </w:r>
    <w:r w:rsidRPr="5EBFC3C0">
      <w:rPr>
        <w:rFonts w:ascii="Calibri" w:hAnsi="Calibri" w:eastAsia="Calibri" w:cs="Calibri"/>
        <w:color w:val="5A5A5A"/>
        <w:sz w:val="16"/>
        <w:szCs w:val="16"/>
        <w:lang w:val="en-US"/>
      </w:rPr>
      <w:fldChar w:fldCharType="begin"/>
    </w:r>
    <w:r w:rsidRPr="5EBFC3C0">
      <w:rPr>
        <w:rFonts w:ascii="Calibri" w:hAnsi="Calibri" w:eastAsia="Calibri" w:cs="Calibri"/>
        <w:color w:val="5A5A5A"/>
        <w:sz w:val="16"/>
        <w:szCs w:val="16"/>
      </w:rPr>
      <w:instrText xml:space="preserve">NUMPAGES</w:instrText>
    </w:r>
    <w:r w:rsidRPr="5EBFC3C0">
      <w:rPr>
        <w:rFonts w:ascii="Calibri" w:hAnsi="Calibri" w:eastAsia="Calibri" w:cs="Calibri"/>
        <w:color w:val="5A5A5A"/>
        <w:sz w:val="16"/>
        <w:szCs w:val="16"/>
      </w:rPr>
      <w:fldChar w:fldCharType="separate"/>
    </w:r>
    <w:r w:rsidRPr="5EBFC3C0">
      <w:rPr>
        <w:rFonts w:ascii="Calibri" w:hAnsi="Calibri" w:eastAsia="Calibri" w:cs="Calibri"/>
        <w:color w:val="5A5A5A"/>
        <w:sz w:val="16"/>
        <w:szCs w:val="16"/>
        <w:lang w:val="en-U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:rsidP="5EBFC3C0" w14:paraId="58D8A75F" wp14:textId="77777777">
    <w:pPr>
      <w:pBdr>
        <w:bottom w:val="single" w:color="00A59A" w:sz="6" w:space="4"/>
      </w:pBdr>
      <w:spacing w:after="40"/>
      <w:jc w:val="right"/>
    </w:pPr>
    <w:r w:rsidRPr="5EBFC3C0" w:rsidR="5EBFC3C0">
      <w:rPr>
        <w:rFonts w:ascii="Calibri" w:hAnsi="Calibri" w:eastAsia="Calibri" w:cs="Calibri"/>
        <w:color w:val="5A5A5A"/>
        <w:sz w:val="16"/>
        <w:szCs w:val="16"/>
        <w:lang w:val="en-US"/>
      </w:rPr>
      <w:t>Experiência Profissional: Desenvolvimento de Aplicações  |  AV1 — Detecção de Phishing — Ethan Buttazzi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594fd7d2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6A230163"/>
  <w15:docId w15:val="{F28B57A2-F244-485D-9DF4-01BA1D3F6921}"/>
  <w:rsids>
    <w:rsidRoot w:val="1A1FBCDE"/>
    <w:rsid w:val="1A1FBCDE"/>
    <w:rsid w:val="34A22ED9"/>
    <w:rsid w:val="362AF791"/>
    <w:rsid w:val="5EBFC3C0"/>
    <w:rsid w:val="72024B29"/>
    <w:rsid w:val="7EDA3BF5"/>
    <w:rsid w:val="7EDA3BF5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image" Target="media/fc7b5e815e9be1b5e8ec8c58337549ea83d4cdae.png" Id="rId9" /><Relationship Type="http://schemas.openxmlformats.org/officeDocument/2006/relationships/fontTable" Target="fontTable.xml" Id="rId10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Experiência Profissional: Desenvolvimento de Aplicações — AV1 — Detecção de Phishing — Ethan Buttazzi</dc:title>
  <dc:creator>Prof. Evaldo A. Oliveira</dc:creator>
  <lastModifiedBy>Evaldo Alves De Oliveira</lastModifiedBy>
  <revision>2</revision>
  <dcterms:created xsi:type="dcterms:W3CDTF">2026-10-09T14:22:07.8900000Z</dcterms:created>
  <dcterms:modified xsi:type="dcterms:W3CDTF">2026-10-21T20:53:00.5795117Z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