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du 13/10 (suite) : CODE DE CONNEXION sans e-mail (tu le donnes, le gars crée son mot de passe dès l'accueil) · COMMERCE — Lecture, Quantités, Points en onglets séparés, quantités de référence ★ en tête, bulle « tracé », fichier du quantitatif gardé, AXIOM « kit manchon avec mousse » = manchon, colonne € / pouce retirée · fin de soirée : MOT DE PASSE — créé dès l'écran de connexion (code reçu par e-mail), petit œil pour voir ce qu'on tape · soir : QUANTITATIFS — le fichier du fournisseur (Excel ou PDF) lu tout seul, le même écran d'import pour l'étude, la commande et le BL, réductions et kits fin de ligne dans la synthèse, consigne Claude Excel réécrite, CET retiré · fin d'après-midi : HEURES — compteur d'heures (heures sup majorées par rang jusqu'au plafond, repos, posé par l'entreprise), heures à reporter (prime, semaine plus légère), import du compteur existant, cas de déplacement forcé, droits RH · après-midi : COMMERCE — quantités fournisseur par la trame, mémoire en mode lecture, contrôle croisé classeur ↔ appli, et le chiffrage qui remplace le classeur (base de prix, paniers dépliés, Installations, récap, charge et équipes) · fin de matinée : lecture des pièces et points techniques ·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X (code de connexion sans e-mail ; onglets Quantités et Points), puis W (mot de passe créé dès l'écran de connexion, petit œil), puis V (les quantitatifs lus tout seuls et le même écran d'import partout), puis U (compteurs d'heures, heures à reporter, import du compteur existant, cas forcé, qui voit / qui modifie), puis T (Commerce : quantités fournisseur, mémoire, contrôle croisé, tes retours sur la lecture et les points techniques, le chiffrage qui remplace le classeur), puis S (lecture des pièces et points techniques), puis R (compteurs d'heures, « Moi » : ma navette, PDF du livret), puis Q (champs date, plafond 48 h, règles GD vérifiées), puis P (la navette de paie au format SCR), puis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48e8a4 (index.html + traceur.html à la racine du dépôt). Section X : pas de SQL, mais une fonction serveur à déployer (acces-code, 5 minutes, comme outlook-sync : voir la section). Pas de SQL pour les sections W et V (section W : deux lignes à ajouter dans les modèles d'e-mail de Supabase pour que le code apparaisse — voir la section). SQL pour la section U : retours_13-10f.sql (contrats, compteurs, cas forcés : lus par le gérant, la direction, les RH, toi et la personne elle-même ; écrits par les RH et toi ; contient retours_13-10e.sql et 13-10d). SQL pour la section T : retours_13-10e.sql (la base de prix modifiable seulement avec le droit « Base de prix SCR : modifier ») — inclus dans 13-10f. SQL pour la section R : retours_13-10d.sql (compteurs d'heures) — inclus dans 13-10e. Pas de SQL pour les sections Q, P, O, N et M (le contrôle des SQL de la section O ne modifie rien). Tous les SQL sont passés (toi, 13/10 au soir) : ta base est à jour.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71 suites de tests automatiques passent, dont celles de la section X (e2e_codeacces : code créé par l'administrateur, première connexion avec le code, code tapé dans la case mot de passe, réouverture, adresse refusée par Supabase ; fn_acces_code : la fonction serveur elle-même, lancée dans Deno face à un Supabase simulé ; e2e_quantites : onglets, référence, fichier gardé, bulle du tracé, une seule zone de lecture), celle de la section W (e2e_motdepasse : serveur simulé qui garde les mots de passe — œil, refus avant création, code faux, contrôles, mot de passe refusé puis accepté, reconnexion, changement dans l'appli, connexion par code, lien du mail, limite d'envoi ; e2e_login inchangée), celles de la section V (lecteur_test : le lecteur en Node sur des copies fictives de chaque format ; e2e_import : commande Excel et livraison PDF lues toutes seules, une pièce corrigée, téléphone ; e2e_qsets étendue : PDF lu tout seul, pièce à classer, options, classeur + trame à moitié ; e2e_fourniture, e2e_fourn2, e2e_stock, e2e_stock2 recalées sur le nouvel écran ; e2e_compteurs sans CET), celles de la section U (compteurs_test : le moteur des compteurs en Node ; e2e_compteurs réécrite ; e2e_compteurs2 : droits, import, export, cas forcé ; e2e_navette et e2e_acces recalées), celles de la section T (e2e_qsets, e2e_memoire2, e2e_ctrlcl, classeur_test, e2e_chiffrage3 ; e2e_lecture3 et e2e_points2 étendues), et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2026-10-13T15:50:20.953Z</dcterms:created>
  <dcterms:modified xsi:type="dcterms:W3CDTF">2026-10-13T15:50:20.953Z</dcterms:modified>
</cp:coreProperties>
</file>

<file path=docProps/custom.xml><?xml version="1.0" encoding="utf-8"?>
<Properties xmlns="http://schemas.openxmlformats.org/officeDocument/2006/custom-properties" xmlns:vt="http://schemas.openxmlformats.org/officeDocument/2006/docPropsVTypes"/>
</file>