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du 13/10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I (l'onglet Fourniture, nouveau),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df963c (index.html + traceur.html à la racine du dépôt). Nouveau SQL à passer : retours_13-10.sql (onglet Fourniture, voir ci-dessous).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47 suites de tests automatiques passent, dont deux nouvelles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(NOUVEAU — à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Chiffrage V2B + lien tracé → calepinage / quantités + situations Excel depuis le DPGF : une maquette dédiée d'abord (une journée), puis le portage.</w:t>
      </w:r>
    </w:p>
    <w:p>
      <w:pPr>
        <w:pStyle w:val="ListParagraph"/>
        <w:numPr>
          <w:ilvl w:val="0"/>
          <w:numId w:val="2"/>
        </w:numPr>
        <w:spacing w:after="40"/>
      </w:pPr>
      <w:r>
        <w:rPr>
          <w:rFonts w:ascii="Calibri" w:cs="Calibri" w:eastAsia="Calibri" w:hAnsi="Calibri"/>
          <w:color w:val="14213D"/>
          <w:sz w:val="20"/>
          <w:szCs w:val="20"/>
        </w:rPr>
        <w:t xml:space="preserve">Surlignage dans le PDF du CCTP (v2 des notes de lecture) : lecteur PDF annotable.</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2026-10-12T08:17:44.377Z</dcterms:created>
  <dcterms:modified xsi:type="dcterms:W3CDTF">2026-10-12T08:17:44.377Z</dcterms:modified>
</cp:coreProperties>
</file>

<file path=docProps/custom.xml><?xml version="1.0" encoding="utf-8"?>
<Properties xmlns="http://schemas.openxmlformats.org/officeDocument/2006/custom-properties" xmlns:vt="http://schemas.openxmlformats.org/officeDocument/2006/docPropsVTypes"/>
</file>