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du 13/10 (soir) : QUANTITATIFS — le fichier du fournisseur (Excel ou PDF) lu tout seul, le même écran d'import pour l'étude, la commande et le BL, réductions et kits fin de ligne dans la synthèse, consigne Claude Excel réécrite, CET retiré · fin d'après-midi : HEURES — compteur d'heures (heures sup majorées par rang jusqu'au plafond, repos, posé par l'entreprise), heures à reporter (prime, semaine plus légère), import du compteur existant, cas de déplacement forcé, droits RH · après-midi : COMMERCE — quantités fournisseur par la trame, mémoire en mode lecture, contrôle croisé classeur ↔ appli, et le chiffrage qui remplace le classeur (base de prix, paniers dépliés, Installations, récap, charge et équipes) · fin de matinée : lecture des pièces et points techniques ·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V (les quantitatifs lus tout seuls et le même écran d'import partout), puis U (compteurs d'heures, heures à reporter, import du compteur existant, cas forcé, qui voit / qui modifie), puis T (Commerce : quantités fournisseur, mémoire, contrôle croisé, tes retours sur la lecture et les points techniques, le chiffrage qui remplace le classeur), puis S (lecture des pièces et points techniques), puis R (compteurs d'heures, « Moi » : ma navette, PDF du livret), puis Q (champs date, plafond 48 h, règles GD vérifiées), puis P (la navette de paie au format SCR), puis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947103 (index.html + traceur.html à la racine du dépôt). Pas de SQL pour la section V. SQL pour la section U : retours_13-10f.sql (contrats, compteurs, cas forcés : lus par le gérant, la direction, les RH, toi et la personne elle-même ; écrits par les RH et toi ; contient retours_13-10e.sql et 13-10d). SQL pour la section T : retours_13-10e.sql (la base de prix modifiable seulement avec le droit « Base de prix SCR : modifier ») — inclus dans 13-10f. SQL pour la section R : retours_13-10d.sql (compteurs d'heures) — inclus dans 13-10e. Pas de SQL pour les sections Q, P, O, N et M (le contrôle des SQL de la section O ne modifie rien). Tous les SQL sont passés (toi, 13/10 au soir) : ta base est à jour.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67 suites de tests automatiques passent, dont celles de la section V (lecteur_test : le lecteur en Node sur des copies fictives de chaque format ; e2e_import : commande Excel et livraison PDF lues toutes seules, une pièce corrigée, téléphone ; e2e_qsets étendue : PDF lu tout seul, pièce à classer, options, classeur + trame à moitié ; e2e_fourniture, e2e_fourn2, e2e_stock, e2e_stock2 recalées sur le nouvel écran ; e2e_compteurs sans CET), celles de la section U (compteurs_test : le moteur des compteurs en Node ; e2e_compteurs réécrite ; e2e_compteurs2 : droits, import, export, cas forcé ; e2e_navette et e2e_acces recalées), celles de la section T (e2e_qsets, e2e_memoire2, e2e_ctrlcl, classeur_test, e2e_chiffrage3 ; e2e_lecture3 et e2e_points2 étendues), et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2026-10-13T13:50:15.164Z</dcterms:created>
  <dcterms:modified xsi:type="dcterms:W3CDTF">2026-10-13T13:50:15.164Z</dcterms:modified>
</cp:coreProperties>
</file>

<file path=docProps/custom.xml><?xml version="1.0" encoding="utf-8"?>
<Properties xmlns="http://schemas.openxmlformats.org/officeDocument/2006/custom-properties" xmlns:vt="http://schemas.openxmlformats.org/officeDocument/2006/docPropsVTypes"/>
</file>