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44"/>
          <w:szCs w:val="44"/>
        </w:rPr>
        <w:t xml:space="preserve">PROJECT OUTLINE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Reinforcement Learning Agent for</w:t>
      </w:r>
    </w:p>
    <w:p>
      <w:pPr>
        <w:spacing w:after="400"/>
        <w:jc w:val="center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Competitive Pokémon Battles</w:t>
      </w:r>
    </w:p>
    <w:p>
      <w:pPr>
        <w:pBdr>
          <w:top w:val="single" w:color="2B579A" w:sz="6" w:space="1"/>
        </w:pBdr>
        <w:spacing w:before="200" w:after="2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5-Week Plan • Two-Person Team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Neural Network Architecture &amp; Battle Simulation Framework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document outlines a 5-week, two-person project to build a competitive Pokémon battle agent using reinforcement learning, with a novel Transformer actor-critic architecture featuring LLM-initialized entity embeddings. The compressed timeline cuts MCTS inference-time search and offline pretraining, focusing on the core novel contribution: the first Pokémon RL agent combining semantic language-model embeddings with a relational Transformer backbone trained via PPO self-play.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team is divided into Partner A (Environment &amp; Data) and Partner B (Model &amp; Training), with parallel workstreams that minimize blocking dependencies and converge for evaluation and writing.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Prior Work Summary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Reference Papers (Provided)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Tse (Stanford CS230): </w:t>
      </w:r>
      <w:r>
        <w:rPr>
          <w:rFonts w:ascii="Arial" w:cs="Arial" w:eastAsia="Arial" w:hAnsi="Arial"/>
          <w:sz w:val="22"/>
          <w:szCs w:val="22"/>
        </w:rPr>
        <w:t xml:space="preserve">Supervised pretraining on top-20% player records → Deep Q-Learning. 96.6% vs. random, 78.2% vs. max-damage, but struggled against real players (~1350 Elo) with repetitive moves.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Chen &amp; Lin (Stanford CS230): </w:t>
      </w:r>
      <w:r>
        <w:rPr>
          <w:rFonts w:ascii="Arial" w:cs="Arial" w:eastAsia="Arial" w:hAnsi="Arial"/>
          <w:sz w:val="22"/>
          <w:szCs w:val="22"/>
        </w:rPr>
        <w:t xml:space="preserve">PPO + Node2Vec embeddings + 3-layer MLP. Beat random/default agents but failed against 1-ply minimax. Got stuck preferring a single move regardless of context.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Wang (MIT MEng, 2024): </w:t>
      </w:r>
      <w:r>
        <w:rPr>
          <w:rFonts w:ascii="Arial" w:cs="Arial" w:eastAsia="Arial" w:hAnsi="Arial"/>
          <w:sz w:val="22"/>
          <w:szCs w:val="22"/>
        </w:rPr>
        <w:t xml:space="preserve">PPO self-play (150M steps) + MCTS at inference. Peaked rank 8 (1693 Elo) in gen4randombattles. Learning rate annealing was critical (55% → 80% winrate). Rated “very good but not elite” by expert players.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Recent State-of-the-Art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Metamon (UT Austin, RLC 2025): </w:t>
      </w:r>
      <w:r>
        <w:rPr>
          <w:rFonts w:ascii="Arial" w:cs="Arial" w:eastAsia="Arial" w:hAnsi="Arial"/>
          <w:sz w:val="22"/>
          <w:szCs w:val="22"/>
        </w:rPr>
        <w:t xml:space="preserve">Transformer sequence models (up to 200M params) via offline RL on millions of human replays. No search at test time. Agents reached top 10% of players in Gen 1–4 OU.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PokéChamp (ICML 2025 Spotlight): </w:t>
      </w:r>
      <w:r>
        <w:rPr>
          <w:rFonts w:ascii="Arial" w:cs="Arial" w:eastAsia="Arial" w:hAnsi="Arial"/>
          <w:sz w:val="22"/>
          <w:szCs w:val="22"/>
        </w:rPr>
        <w:t xml:space="preserve">LLMs (GPT-4o / Llama 8B) power minimax search with zero training. 1300–1500 Elo in Gen 9 OU via action sampling, opponent modeling, and value estimation.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PokéAgent Challenge (NeurIPS 2025): </w:t>
      </w:r>
      <w:r>
        <w:rPr>
          <w:rFonts w:ascii="Arial" w:cs="Arial" w:eastAsia="Arial" w:hAnsi="Arial"/>
          <w:sz w:val="22"/>
          <w:szCs w:val="22"/>
        </w:rPr>
        <w:t xml:space="preserve">3.5M+ battle replays, standardized benchmarks, and 3,000+ mechanic articles as a formalized Pokémon AI benchmark.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Scoping for 5 Weeks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With ~10 person-weeks of effort, we cut aggressively while preserving the core novelty: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Keep: </w:t>
      </w:r>
      <w:r>
        <w:rPr>
          <w:rFonts w:ascii="Arial" w:cs="Arial" w:eastAsia="Arial" w:hAnsi="Arial"/>
          <w:sz w:val="22"/>
          <w:szCs w:val="22"/>
        </w:rPr>
        <w:t xml:space="preserve">Transformer actor-critic with LLM-initialized entity embeddings (central novelty, ~2 weeks for one person).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Keep: </w:t>
      </w:r>
      <w:r>
        <w:rPr>
          <w:rFonts w:ascii="Arial" w:cs="Arial" w:eastAsia="Arial" w:hAnsi="Arial"/>
          <w:sz w:val="22"/>
          <w:szCs w:val="22"/>
        </w:rPr>
        <w:t xml:space="preserve">PPO self-play training via poke-env + local Showdown (proven, well-supported path).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Keep: </w:t>
      </w:r>
      <w:r>
        <w:rPr>
          <w:rFonts w:ascii="Arial" w:cs="Arial" w:eastAsia="Arial" w:hAnsi="Arial"/>
          <w:sz w:val="22"/>
          <w:szCs w:val="22"/>
        </w:rPr>
        <w:t xml:space="preserve">Rigorous ablation study (LLM vs. random embeddings, Transformer vs. MLP) and ladder evaluation.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Cut: </w:t>
      </w:r>
      <w:r>
        <w:rPr>
          <w:rFonts w:ascii="Arial" w:cs="Arial" w:eastAsia="Arial" w:hAnsi="Arial"/>
          <w:sz w:val="22"/>
          <w:szCs w:val="22"/>
        </w:rPr>
        <w:t xml:space="preserve">MCTS at inference time. Requires building a state-cloning proxy server (2–3 weeks of engineering alone). Wang’s NN-only policy already beat heuristic bots ~79% of the time.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Cut: </w:t>
      </w:r>
      <w:r>
        <w:rPr>
          <w:rFonts w:ascii="Arial" w:cs="Arial" w:eastAsia="Arial" w:hAnsi="Arial"/>
          <w:sz w:val="22"/>
          <w:szCs w:val="22"/>
        </w:rPr>
        <w:t xml:space="preserve">Offline pretraining on replay datasets. Parsing first-person trajectories from Showdown replays is complex. Self-play from scratch is simpler.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Simplify: </w:t>
      </w:r>
      <w:r>
        <w:rPr>
          <w:rFonts w:ascii="Arial" w:cs="Arial" w:eastAsia="Arial" w:hAnsi="Arial"/>
          <w:sz w:val="22"/>
          <w:szCs w:val="22"/>
        </w:rPr>
        <w:t xml:space="preserve">Target gen4randombattles for direct comparability with Wang’s results.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Neural Network Architecture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architecture is a Transformer actor-critic with LLM-initialized entity embeddings—novel relative to all prior Pokémon RL work.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Entity Embedding Layer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Every Gen 4 entity (296 species, ~200 moves, ~100 abilities, ~40 items) gets a frozen embedding from a pretrained sentence encoder (e.g., Sentence-BERT) applied to its Bulbapedia/Smogon description. A learned linear projection (768 → 64) maps these into the RL latent space.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Per-Pokémon Encoder (Shared Weights)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Each Pokémon’s features (projected species/move/ability/item embeddings + numeric features like HP bin, stat boosts, volatile statuses) are concatenated and passed through a shared 2-layer MLP. Applied to all 12 Pokémon (6 own + 6 opponent). Unrevealed Pokémon use a learned “unknown” token.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Transformer Encoder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12 Pokémon vectors + a “battle context” token (weather, terrain, hazards, trick room, turn count) form 13 tokens for a 4-layer, 4-head, dim-256 Transformer encoder. Self-attention enables reasoning about type matchups and team-level synergies across both sides.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Output Heads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Actor head: distribution over up to 9 actions (4 moves + 5 switches), invalid actions masked to -inf. Critic head: scalar state value. Both share the Transformer backbone. Total: ~5–10M trainable parameters, feasible on a single consumer GPU.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Battle Simulation Framework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Pokémon Showdown (Local): </w:t>
      </w:r>
      <w:r>
        <w:rPr>
          <w:rFonts w:ascii="Arial" w:cs="Arial" w:eastAsia="Arial" w:hAnsi="Arial"/>
          <w:sz w:val="22"/>
          <w:szCs w:val="22"/>
        </w:rPr>
        <w:t xml:space="preserve">Clone smogon/pokemon-showdown, run with --no-security.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poke-env (v0.12+): </w:t>
      </w:r>
      <w:r>
        <w:rPr>
          <w:rFonts w:ascii="Arial" w:cs="Arial" w:eastAsia="Arial" w:hAnsi="Arial"/>
          <w:sz w:val="22"/>
          <w:szCs w:val="22"/>
        </w:rPr>
        <w:t xml:space="preserve">Python Gym-compatible interface. Agent subclasses Player, implements choose_move(battle).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 Encoder: </w:t>
      </w:r>
      <w:r>
        <w:rPr>
          <w:rFonts w:ascii="Arial" w:cs="Arial" w:eastAsia="Arial" w:hAnsi="Arial"/>
          <w:sz w:val="22"/>
          <w:szCs w:val="22"/>
        </w:rPr>
        <w:t xml:space="preserve">Converts poke-env battle objects into tensor inputs matching the architecture.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PPO Loop: </w:t>
      </w:r>
      <w:r>
        <w:rPr>
          <w:rFonts w:ascii="Arial" w:cs="Arial" w:eastAsia="Arial" w:hAnsi="Arial"/>
          <w:sz w:val="22"/>
          <w:szCs w:val="22"/>
        </w:rPr>
        <w:t xml:space="preserve">CleanRL-based PPO with self-play + 15% heuristic opponent mixing.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Parallelization: </w:t>
      </w:r>
      <w:r>
        <w:rPr>
          <w:rFonts w:ascii="Arial" w:cs="Arial" w:eastAsia="Arial" w:hAnsi="Arial"/>
          <w:sz w:val="22"/>
          <w:szCs w:val="22"/>
        </w:rPr>
        <w:t xml:space="preserve">10–20 independent Showdown instances, one per CPU core, collecting from both players.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Week-by-Week Plan &amp; Team Division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Partner A owns environment, data pipeline, and evaluation. Partner B owns model architecture and training. They work in parallel for weeks 1–2, integrate at end of week 2, then run experiments in parallel for weeks 3–4.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Partner A: Environment &amp; Data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Partner B: Model &amp; Training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Clone &amp; configure local Showdown server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Install poke-env; run random agent end-to-end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Implement MaxDamage + SimpleHeuristics baselines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Design &amp; build observation encoder (state → tensor)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Set up multi-server parallelization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Generate LLM embeddings for all Gen 4 entities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Build per-Pokémon encoder module (PyTorch)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Build Transformer encoder block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Build actor + critic heads with action masking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Unit test: forward pass with dummy tensors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Build self-play harness (agent vs. frozen copy)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Implement dual-side experience collection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Integrate env with Partner B’s PPO loop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Run first training test (~1M steps) to verify pipeline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Implement PPO: loss functions, GAE, clipping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Implement LR annealing schedule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Build validation harness (winrate vs. heuristics every 20K steps)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Debug integration with Partner 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✓ Checkpoint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Pipeline works end-to-end. Small model (2-layer, dim 128) shows &gt;60% winrate vs. random. Both partners can run training independently.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Scale to 10–20 parallel games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Launch main training run (30–50M steps, full 4-layer Transformer)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Launch ablation #1: MLP baseline (same params)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Monitor curves; fix instabilities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Launch ablation #2: random embeddings (same arch)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Hyperparam sweep on 3v3 games (faster iteration)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Apply best hyperparams to 6v6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Set up WandB/TensorBoard logging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4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Run eval suite vs. all baselines (1000+ games each)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Deploy to Showdown ladder (200+ games)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Collect Elo, GXE, Glicko-1 data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Complete &amp; collect all ablation results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Generate training curves &amp; comparison plots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Begin drafting results + architecture diagrams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SHARED: Write-up, figures, final experiments, presentation. Both partners contribute to all sections. Run any gap-filling experiments.</w:t>
            </w:r>
          </w:p>
        </w:tc>
      </w:tr>
    </w:tbl>
    <w:p>
      <w:pPr>
        <w:spacing w:after="120"/>
      </w:pP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Why This Division Works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Weeks 1–2 are fully parallelizable: Partner A builds the environment pipeline with a random agent, Partner B builds and unit-tests the model with synthetic tensors. They connect at end of week 2. From week 3, both independently run training/ablation experiments on shared infrastructure. The most common failure in team RL projects—one partner blocked on environment bugs—is avoided by having Partner A fully own and debug the environment before integration.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Evaluation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Baseline Bots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1000+ games vs. Random, MaxDamage, SimpleHeuristics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Sanity check; comparability with all prior 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Online Ladder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 games on Showdown; Elo, GXE, Glicko-1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performance benchmark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Ablations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vs. random embeddings; Transformer vs. MLP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Isolate each design choice’s contribution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Qualitative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&amp; annotate 10–20 representative replays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decision-making quality</w:t>
            </w:r>
          </w:p>
        </w:tc>
      </w:tr>
    </w:tbl>
    <w:p>
      <w:pPr>
        <w:spacing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Hardware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GPU: 1x RTX 3090/4090 (24GB VRAM) for neural network training.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CPU: 16–32 cores for parallel Showdown instances.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RAM: 32–64 GB (each Showdown instance uses ~200–500 MB).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Storage: ~50 GB temporary for LLM embedding gen, ~10 GB for training logs.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Key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48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speed bottleneck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too slow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Tune hyperparams on 3v3 first; parallelize aggressively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PPO instability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collapses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 annealing; entropy bonus; checkpoints every 1M steps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delay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 week 3+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test with mocks in weeks 1–2; integrate only at end of week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Self-play overfitting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Exploits that don’t generalize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 15% heuristic opponents; periodic ladder checks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embeddings don’t help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improvement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Ablation in week 3; valid negative result if rigorous</w:t>
            </w:r>
          </w:p>
        </w:tc>
      </w:tr>
    </w:tbl>
    <w:p>
      <w:pPr>
        <w:spacing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Stretch Goals (If Ahead of Schedule)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Trajectory context window: </w:t>
      </w:r>
      <w:r>
        <w:rPr>
          <w:rFonts w:ascii="Arial" w:cs="Arial" w:eastAsia="Arial" w:hAnsi="Arial"/>
          <w:sz w:val="22"/>
          <w:szCs w:val="22"/>
        </w:rPr>
        <w:t xml:space="preserve">Prepend last 3–5 turns as extra Transformer tokens. ~1 day of implementation.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Shallow lookahead: </w:t>
      </w:r>
      <w:r>
        <w:rPr>
          <w:rFonts w:ascii="Arial" w:cs="Arial" w:eastAsia="Arial" w:hAnsi="Arial"/>
          <w:sz w:val="22"/>
          <w:szCs w:val="22"/>
        </w:rPr>
        <w:t xml:space="preserve">1–2 turn lookahead using the trained value function (not full MCTS).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Population-based self-play: </w:t>
      </w:r>
      <w:r>
        <w:rPr>
          <w:rFonts w:ascii="Arial" w:cs="Arial" w:eastAsia="Arial" w:hAnsi="Arial"/>
          <w:sz w:val="22"/>
          <w:szCs w:val="22"/>
        </w:rPr>
        <w:t xml:space="preserve">Train against a league of past snapshots instead of just the latest.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External References &amp; Reading List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11.1 Core Pokémon AI Papers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Metamon: Human-Level Competitive Pokémon via Scalable Offline RL with Transformers</w:t>
      </w:r>
      <w:r>
        <w:rPr>
          <w:rFonts w:ascii="Arial" w:cs="Arial" w:eastAsia="Arial" w:hAnsi="Arial"/>
          <w:sz w:val="22"/>
          <w:szCs w:val="22"/>
        </w:rPr>
        <w:t xml:space="preserve"> — Grigsby et al., RLC 2025. </w:t>
      </w:r>
      <w:hyperlink w:history="1" r:id="rIdsucj0zwrmdg_anuperhm1">
        <w:r>
          <w:rPr>
            <w:rFonts w:ascii="Arial" w:cs="Arial" w:eastAsia="Arial" w:hAnsi="Arial"/>
            <w:color w:val="2B579A"/>
            <w:sz w:val="22"/>
            <w:szCs w:val="22"/>
            <w:u w:val="single"/>
          </w:rPr>
          <w:t xml:space="preserve">Paper</w:t>
        </w:r>
      </w:hyperlink>
      <w:r>
        <w:rPr>
          <w:rFonts w:ascii="Arial" w:cs="Arial" w:eastAsia="Arial" w:hAnsi="Arial"/>
          <w:sz w:val="22"/>
          <w:szCs w:val="22"/>
        </w:rPr>
        <w:t xml:space="preserve"> | </w:t>
      </w:r>
      <w:hyperlink w:history="1" r:id="rIdux3ye01l1g2pbpmz1ydgf">
        <w:r>
          <w:rPr>
            <w:rFonts w:ascii="Arial" w:cs="Arial" w:eastAsia="Arial" w:hAnsi="Arial"/>
            <w:color w:val="2B579A"/>
            <w:sz w:val="22"/>
            <w:szCs w:val="22"/>
            <w:u w:val="single"/>
          </w:rPr>
          <w:t xml:space="preserve">Code</w:t>
        </w:r>
      </w:hyperlink>
      <w:r>
        <w:rPr>
          <w:rFonts w:ascii="Arial" w:cs="Arial" w:eastAsia="Arial" w:hAnsi="Arial"/>
          <w:sz w:val="22"/>
          <w:szCs w:val="22"/>
        </w:rPr>
        <w:t xml:space="preserve"> | </w:t>
      </w:r>
      <w:hyperlink w:history="1" r:id="rIdztdixma1xbszvzk74aokk">
        <w:r>
          <w:rPr>
            <w:rFonts w:ascii="Arial" w:cs="Arial" w:eastAsia="Arial" w:hAnsi="Arial"/>
            <w:color w:val="2B579A"/>
            <w:sz w:val="22"/>
            <w:szCs w:val="22"/>
            <w:u w:val="single"/>
          </w:rPr>
          <w:t xml:space="preserve">Website</w:t>
        </w:r>
      </w:hyperlink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PokéChamp: an Expert-level Minimax Language Agent</w:t>
      </w:r>
      <w:r>
        <w:rPr>
          <w:rFonts w:ascii="Arial" w:cs="Arial" w:eastAsia="Arial" w:hAnsi="Arial"/>
          <w:sz w:val="22"/>
          <w:szCs w:val="22"/>
        </w:rPr>
        <w:t xml:space="preserve"> — Karten et al., ICML 2025. </w:t>
      </w:r>
      <w:hyperlink w:history="1" r:id="rIdas_oe3ksr-j-94xxq7bwc">
        <w:r>
          <w:rPr>
            <w:rFonts w:ascii="Arial" w:cs="Arial" w:eastAsia="Arial" w:hAnsi="Arial"/>
            <w:color w:val="2B579A"/>
            <w:sz w:val="22"/>
            <w:szCs w:val="22"/>
            <w:u w:val="single"/>
          </w:rPr>
          <w:t xml:space="preserve">Paper</w:t>
        </w:r>
      </w:hyperlink>
      <w:r>
        <w:rPr>
          <w:rFonts w:ascii="Arial" w:cs="Arial" w:eastAsia="Arial" w:hAnsi="Arial"/>
          <w:sz w:val="22"/>
          <w:szCs w:val="22"/>
        </w:rPr>
        <w:t xml:space="preserve"> | </w:t>
      </w:r>
      <w:hyperlink w:history="1" r:id="rIdhx5na8h8lcujwtmv3nowj">
        <w:r>
          <w:rPr>
            <w:rFonts w:ascii="Arial" w:cs="Arial" w:eastAsia="Arial" w:hAnsi="Arial"/>
            <w:color w:val="2B579A"/>
            <w:sz w:val="22"/>
            <w:szCs w:val="22"/>
            <w:u w:val="single"/>
          </w:rPr>
          <w:t xml:space="preserve">Code</w:t>
        </w:r>
      </w:hyperlink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PokéAgent Challenge (NeurIPS 2025)</w:t>
      </w:r>
      <w:r>
        <w:rPr>
          <w:rFonts w:ascii="Arial" w:cs="Arial" w:eastAsia="Arial" w:hAnsi="Arial"/>
          <w:sz w:val="22"/>
          <w:szCs w:val="22"/>
        </w:rPr>
        <w:t xml:space="preserve"> — Competition with 3.5M+ battle dataset. </w:t>
      </w:r>
      <w:hyperlink w:history="1" r:id="rIdbtc7zzdvntfsyf3jrotbc">
        <w:r>
          <w:rPr>
            <w:rFonts w:ascii="Arial" w:cs="Arial" w:eastAsia="Arial" w:hAnsi="Arial"/>
            <w:color w:val="2B579A"/>
            <w:sz w:val="22"/>
            <w:szCs w:val="22"/>
            <w:u w:val="single"/>
          </w:rPr>
          <w:t xml:space="preserve">Website</w:t>
        </w:r>
      </w:hyperlink>
      <w:r>
        <w:rPr>
          <w:rFonts w:ascii="Arial" w:cs="Arial" w:eastAsia="Arial" w:hAnsi="Arial"/>
          <w:sz w:val="22"/>
          <w:szCs w:val="22"/>
        </w:rPr>
        <w:t xml:space="preserve"> | </w:t>
      </w:r>
      <w:hyperlink w:history="1" r:id="rId7x_nki3vzkrz8yqupa5hm">
        <w:r>
          <w:rPr>
            <w:rFonts w:ascii="Arial" w:cs="Arial" w:eastAsia="Arial" w:hAnsi="Arial"/>
            <w:color w:val="2B579A"/>
            <w:sz w:val="22"/>
            <w:szCs w:val="22"/>
            <w:u w:val="single"/>
          </w:rPr>
          <w:t xml:space="preserve">Proposal</w:t>
        </w:r>
      </w:hyperlink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PokéLLMon: A Human-Parity Agent with LLMs</w:t>
      </w:r>
      <w:r>
        <w:rPr>
          <w:rFonts w:ascii="Arial" w:cs="Arial" w:eastAsia="Arial" w:hAnsi="Arial"/>
          <w:sz w:val="22"/>
          <w:szCs w:val="22"/>
        </w:rPr>
        <w:t xml:space="preserve"> — Hu et al., 2024. </w:t>
      </w:r>
      <w:hyperlink w:history="1" r:id="rIdn8ijtjlymi3pnklk2xs-o">
        <w:r>
          <w:rPr>
            <w:rFonts w:ascii="Arial" w:cs="Arial" w:eastAsia="Arial" w:hAnsi="Arial"/>
            <w:color w:val="2B579A"/>
            <w:sz w:val="22"/>
            <w:szCs w:val="22"/>
            <w:u w:val="single"/>
          </w:rPr>
          <w:t xml:space="preserve">Paper</w:t>
        </w:r>
      </w:hyperlink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11.2 RL Methods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PPO: Proximal Policy Optimization Algorithms</w:t>
      </w:r>
      <w:r>
        <w:rPr>
          <w:rFonts w:ascii="Arial" w:cs="Arial" w:eastAsia="Arial" w:hAnsi="Arial"/>
          <w:sz w:val="22"/>
          <w:szCs w:val="22"/>
        </w:rPr>
        <w:t xml:space="preserve"> — Schulman et al., 2017. </w:t>
      </w:r>
      <w:hyperlink w:history="1" r:id="rId_-iugpx6hyyg4jpwdz1pp">
        <w:r>
          <w:rPr>
            <w:rFonts w:ascii="Arial" w:cs="Arial" w:eastAsia="Arial" w:hAnsi="Arial"/>
            <w:color w:val="2B579A"/>
            <w:sz w:val="22"/>
            <w:szCs w:val="22"/>
            <w:u w:val="single"/>
          </w:rPr>
          <w:t xml:space="preserve">Paper</w:t>
        </w:r>
      </w:hyperlink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37 Implementation Details of PPO</w:t>
      </w:r>
      <w:r>
        <w:rPr>
          <w:rFonts w:ascii="Arial" w:cs="Arial" w:eastAsia="Arial" w:hAnsi="Arial"/>
          <w:sz w:val="22"/>
          <w:szCs w:val="22"/>
        </w:rPr>
        <w:t xml:space="preserve"> — Huang et al., ICLR 2022. Essential for making PPO work. </w:t>
      </w:r>
      <w:hyperlink w:history="1" r:id="rIdx4kpbnj_ofgaobqilqp0i">
        <w:r>
          <w:rPr>
            <w:rFonts w:ascii="Arial" w:cs="Arial" w:eastAsia="Arial" w:hAnsi="Arial"/>
            <w:color w:val="2B579A"/>
            <w:sz w:val="22"/>
            <w:szCs w:val="22"/>
            <w:u w:val="single"/>
          </w:rPr>
          <w:t xml:space="preserve">Post</w:t>
        </w:r>
      </w:hyperlink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Generalized Advantage Estimation (GAE)</w:t>
      </w:r>
      <w:r>
        <w:rPr>
          <w:rFonts w:ascii="Arial" w:cs="Arial" w:eastAsia="Arial" w:hAnsi="Arial"/>
          <w:sz w:val="22"/>
          <w:szCs w:val="22"/>
        </w:rPr>
        <w:t xml:space="preserve"> — Schulman et al., 2016. </w:t>
      </w:r>
      <w:hyperlink w:history="1" r:id="rId3d11xjml2x7aw-uwlvgqz">
        <w:r>
          <w:rPr>
            <w:rFonts w:ascii="Arial" w:cs="Arial" w:eastAsia="Arial" w:hAnsi="Arial"/>
            <w:color w:val="2B579A"/>
            <w:sz w:val="22"/>
            <w:szCs w:val="22"/>
            <w:u w:val="single"/>
          </w:rPr>
          <w:t xml:space="preserve">Paper</w:t>
        </w:r>
      </w:hyperlink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Invalid Action Masking in Policy Gradient Algorithms</w:t>
      </w:r>
      <w:r>
        <w:rPr>
          <w:rFonts w:ascii="Arial" w:cs="Arial" w:eastAsia="Arial" w:hAnsi="Arial"/>
          <w:sz w:val="22"/>
          <w:szCs w:val="22"/>
        </w:rPr>
        <w:t xml:space="preserve"> — Huang &amp; Ontañón, 2022. </w:t>
      </w:r>
      <w:hyperlink w:history="1" r:id="rIdmqrvgj9il9bvr8aywdjey">
        <w:r>
          <w:rPr>
            <w:rFonts w:ascii="Arial" w:cs="Arial" w:eastAsia="Arial" w:hAnsi="Arial"/>
            <w:color w:val="2B579A"/>
            <w:sz w:val="22"/>
            <w:szCs w:val="22"/>
            <w:u w:val="single"/>
          </w:rPr>
          <w:t xml:space="preserve">Paper</w:t>
        </w:r>
      </w:hyperlink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11.3 Tools &amp; Frameworks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poke-env</w:t>
      </w:r>
      <w:r>
        <w:rPr>
          <w:rFonts w:ascii="Arial" w:cs="Arial" w:eastAsia="Arial" w:hAnsi="Arial"/>
          <w:sz w:val="22"/>
          <w:szCs w:val="22"/>
        </w:rPr>
        <w:t xml:space="preserve"> — Python RL interface for Showdown. </w:t>
      </w:r>
      <w:hyperlink w:history="1" r:id="rIdgaouyjzra_7s74jvbmrlm">
        <w:r>
          <w:rPr>
            <w:rFonts w:ascii="Arial" w:cs="Arial" w:eastAsia="Arial" w:hAnsi="Arial"/>
            <w:color w:val="2B579A"/>
            <w:sz w:val="22"/>
            <w:szCs w:val="22"/>
            <w:u w:val="single"/>
          </w:rPr>
          <w:t xml:space="preserve">GitHub</w:t>
        </w:r>
      </w:hyperlink>
      <w:r>
        <w:rPr>
          <w:rFonts w:ascii="Arial" w:cs="Arial" w:eastAsia="Arial" w:hAnsi="Arial"/>
          <w:sz w:val="22"/>
          <w:szCs w:val="22"/>
        </w:rPr>
        <w:t xml:space="preserve"> | </w:t>
      </w:r>
      <w:hyperlink w:history="1" r:id="rIdyjsuf4mxl8s1j1eqoo5xr">
        <w:r>
          <w:rPr>
            <w:rFonts w:ascii="Arial" w:cs="Arial" w:eastAsia="Arial" w:hAnsi="Arial"/>
            <w:color w:val="2B579A"/>
            <w:sz w:val="22"/>
            <w:szCs w:val="22"/>
            <w:u w:val="single"/>
          </w:rPr>
          <w:t xml:space="preserve">Docs</w:t>
        </w:r>
      </w:hyperlink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Pokémon Showdown</w:t>
      </w:r>
      <w:r>
        <w:rPr>
          <w:rFonts w:ascii="Arial" w:cs="Arial" w:eastAsia="Arial" w:hAnsi="Arial"/>
          <w:sz w:val="22"/>
          <w:szCs w:val="22"/>
        </w:rPr>
        <w:t xml:space="preserve"> — Open-source battle simulator. </w:t>
      </w:r>
      <w:hyperlink w:history="1" r:id="rIdkku6xvgobar2g_fwzkm5o">
        <w:r>
          <w:rPr>
            <w:rFonts w:ascii="Arial" w:cs="Arial" w:eastAsia="Arial" w:hAnsi="Arial"/>
            <w:color w:val="2B579A"/>
            <w:sz w:val="22"/>
            <w:szCs w:val="22"/>
            <w:u w:val="single"/>
          </w:rPr>
          <w:t xml:space="preserve">GitHub</w:t>
        </w:r>
      </w:hyperlink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CleanRL</w:t>
      </w:r>
      <w:r>
        <w:rPr>
          <w:rFonts w:ascii="Arial" w:cs="Arial" w:eastAsia="Arial" w:hAnsi="Arial"/>
          <w:sz w:val="22"/>
          <w:szCs w:val="22"/>
        </w:rPr>
        <w:t xml:space="preserve"> — Single-file RL implementations. </w:t>
      </w:r>
      <w:hyperlink w:history="1" r:id="rIdgic6imik3fajl71gjtip4">
        <w:r>
          <w:rPr>
            <w:rFonts w:ascii="Arial" w:cs="Arial" w:eastAsia="Arial" w:hAnsi="Arial"/>
            <w:color w:val="2B579A"/>
            <w:sz w:val="22"/>
            <w:szCs w:val="22"/>
            <w:u w:val="single"/>
          </w:rPr>
          <w:t xml:space="preserve">GitHub</w:t>
        </w:r>
      </w:hyperlink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11.4 Game AI Background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AlphaGo (Silver et al., Nature 2016)</w:t>
      </w:r>
      <w:r>
        <w:rPr>
          <w:rFonts w:ascii="Arial" w:cs="Arial" w:eastAsia="Arial" w:hAnsi="Arial"/>
          <w:sz w:val="22"/>
          <w:szCs w:val="22"/>
        </w:rPr>
        <w:t xml:space="preserve"> — NN + MCTS for Go. </w:t>
      </w:r>
      <w:hyperlink w:history="1" r:id="rIddh8r5r8byq7tg7imy_cv1">
        <w:r>
          <w:rPr>
            <w:rFonts w:ascii="Arial" w:cs="Arial" w:eastAsia="Arial" w:hAnsi="Arial"/>
            <w:color w:val="2B579A"/>
            <w:sz w:val="22"/>
            <w:szCs w:val="22"/>
            <w:u w:val="single"/>
          </w:rPr>
          <w:t xml:space="preserve">Paper</w:t>
        </w:r>
      </w:hyperlink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AlphaZero (Silver et al., Science 2018)</w:t>
      </w:r>
      <w:r>
        <w:rPr>
          <w:rFonts w:ascii="Arial" w:cs="Arial" w:eastAsia="Arial" w:hAnsi="Arial"/>
          <w:sz w:val="22"/>
          <w:szCs w:val="22"/>
        </w:rPr>
        <w:t xml:space="preserve"> — Self-play + MCTS without human data. </w:t>
      </w:r>
      <w:hyperlink w:history="1" r:id="rId8vyqqph5djjhha5bppow-">
        <w:r>
          <w:rPr>
            <w:rFonts w:ascii="Arial" w:cs="Arial" w:eastAsia="Arial" w:hAnsi="Arial"/>
            <w:color w:val="2B579A"/>
            <w:sz w:val="22"/>
            <w:szCs w:val="22"/>
            <w:u w:val="single"/>
          </w:rPr>
          <w:t xml:space="preserve">Paper</w:t>
        </w:r>
      </w:hyperlink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Libratus: Superhuman Poker AI (Brown &amp; Sandholm, 2018)</w:t>
      </w:r>
      <w:r>
        <w:rPr>
          <w:rFonts w:ascii="Arial" w:cs="Arial" w:eastAsia="Arial" w:hAnsi="Arial"/>
          <w:sz w:val="22"/>
          <w:szCs w:val="22"/>
        </w:rPr>
        <w:t xml:space="preserve"> — Imperfect info game AI. </w:t>
      </w:r>
      <w:hyperlink w:history="1" r:id="rIdu8u98bqfdgujkydqjhiyi">
        <w:r>
          <w:rPr>
            <w:rFonts w:ascii="Arial" w:cs="Arial" w:eastAsia="Arial" w:hAnsi="Arial"/>
            <w:color w:val="2B579A"/>
            <w:sz w:val="22"/>
            <w:szCs w:val="22"/>
            <w:u w:val="single"/>
          </w:rPr>
          <w:t xml:space="preserve">Paper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sucj0zwrmdg_anuperhm1" Type="http://schemas.openxmlformats.org/officeDocument/2006/relationships/hyperlink" Target="https://arxiv.org/abs/2504.04395" TargetMode="External"/><Relationship Id="rIdux3ye01l1g2pbpmz1ydgf" Type="http://schemas.openxmlformats.org/officeDocument/2006/relationships/hyperlink" Target="https://github.com/UT-Austin-RPL/metamon" TargetMode="External"/><Relationship Id="rIdztdixma1xbszvzk74aokk" Type="http://schemas.openxmlformats.org/officeDocument/2006/relationships/hyperlink" Target="https://metamon.tech/" TargetMode="External"/><Relationship Id="rIdas_oe3ksr-j-94xxq7bwc" Type="http://schemas.openxmlformats.org/officeDocument/2006/relationships/hyperlink" Target="https://arxiv.org/abs/2503.04094" TargetMode="External"/><Relationship Id="rIdhx5na8h8lcujwtmv3nowj" Type="http://schemas.openxmlformats.org/officeDocument/2006/relationships/hyperlink" Target="https://github.com/sethkarten/pokechamp" TargetMode="External"/><Relationship Id="rIdbtc7zzdvntfsyf3jrotbc" Type="http://schemas.openxmlformats.org/officeDocument/2006/relationships/hyperlink" Target="https://pokeagent.github.io/" TargetMode="External"/><Relationship Id="rId7x_nki3vzkrz8yqupa5hm" Type="http://schemas.openxmlformats.org/officeDocument/2006/relationships/hyperlink" Target="https://sethkarten.ai/data/NeurIPS_2025_PokeAgent_Challenge.pdf" TargetMode="External"/><Relationship Id="rIdn8ijtjlymi3pnklk2xs-o" Type="http://schemas.openxmlformats.org/officeDocument/2006/relationships/hyperlink" Target="https://arxiv.org/abs/2402.01118" TargetMode="External"/><Relationship Id="rId_-iugpx6hyyg4jpwdz1pp" Type="http://schemas.openxmlformats.org/officeDocument/2006/relationships/hyperlink" Target="https://arxiv.org/abs/1707.06347" TargetMode="External"/><Relationship Id="rIdx4kpbnj_ofgaobqilqp0i" Type="http://schemas.openxmlformats.org/officeDocument/2006/relationships/hyperlink" Target="https://iclr-blog-track.github.io/2022/03/25/ppo-implementation-details/" TargetMode="External"/><Relationship Id="rId3d11xjml2x7aw-uwlvgqz" Type="http://schemas.openxmlformats.org/officeDocument/2006/relationships/hyperlink" Target="https://arxiv.org/abs/1506.02438" TargetMode="External"/><Relationship Id="rIdmqrvgj9il9bvr8aywdjey" Type="http://schemas.openxmlformats.org/officeDocument/2006/relationships/hyperlink" Target="https://arxiv.org/abs/2006.14171" TargetMode="External"/><Relationship Id="rIdgaouyjzra_7s74jvbmrlm" Type="http://schemas.openxmlformats.org/officeDocument/2006/relationships/hyperlink" Target="https://github.com/hsahovic/poke-env" TargetMode="External"/><Relationship Id="rIdyjsuf4mxl8s1j1eqoo5xr" Type="http://schemas.openxmlformats.org/officeDocument/2006/relationships/hyperlink" Target="https://poke-env.readthedocs.io/" TargetMode="External"/><Relationship Id="rIdkku6xvgobar2g_fwzkm5o" Type="http://schemas.openxmlformats.org/officeDocument/2006/relationships/hyperlink" Target="https://github.com/smogon/pokemon-showdown" TargetMode="External"/><Relationship Id="rIdgic6imik3fajl71gjtip4" Type="http://schemas.openxmlformats.org/officeDocument/2006/relationships/hyperlink" Target="https://github.com/vwxyzjn/cleanrl" TargetMode="External"/><Relationship Id="rIddh8r5r8byq7tg7imy_cv1" Type="http://schemas.openxmlformats.org/officeDocument/2006/relationships/hyperlink" Target="https://doi.org/10.1038/nature16961" TargetMode="External"/><Relationship Id="rId8vyqqph5djjhha5bppow-" Type="http://schemas.openxmlformats.org/officeDocument/2006/relationships/hyperlink" Target="https://doi.org/10.1126/science.aar6404" TargetMode="External"/><Relationship Id="rIdu8u98bqfdgujkydqjhiyi" Type="http://schemas.openxmlformats.org/officeDocument/2006/relationships/hyperlink" Target="https://doi.org/10.1126/science.aao1733" TargetMode="External"/><Relationship Id="rId2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2026-03-26T19:36:30.763Z</dcterms:created>
  <dcterms:modified xsi:type="dcterms:W3CDTF">2026-03-26T19:36:30.764Z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