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基于STM32和3D打印结构的手控双轴云台立项书</w:t>
      </w:r>
    </w:p>
    <w:p>
      <w:pPr>
        <w:pStyle w:val="SmallNote"/>
      </w:pPr>
      <w:r>
        <w:t>显示与操作品质升级版    2026 年 10 月 22 日</w:t>
      </w:r>
    </w:p>
    <w:p>
      <w:r>
        <w:t>申请立项建设以 STM32、MPU6050、nRF24L01 和 MG996R 为基础的手控双轴云台实验平台，沿用提供的 3D 打印结构，增加 monitor 项目所用的旋钮彩屏。项目重点是手控链路复现、状态显示、操作重复性评价及结构装配验证，形成可复现的工程资料。</w:t>
      </w:r>
    </w:p>
    <w:p>
      <w:pPr>
        <w:pStyle w:val="Heading1"/>
      </w:pPr>
      <w:r>
        <w:t>一 项目范围与立项目标</w:t>
      </w:r>
    </w:p>
    <w:p>
      <w:r>
        <w:t>本期使用中性载荷开展手控台架实验。QGimbal、QD4310、视觉识别及自动跟随不计入本期实施；视觉作为后续补充单独论证。原资料中的发射机构、继电器及相关动作不进入本项目。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before="40" w:after="40" w:line="274" w:lineRule="auto"/>
            </w:pPr>
            <w:r>
              <w:rPr>
                <w:b/>
                <w:color w:val="000000"/>
                <w:sz w:val="18"/>
              </w:rPr>
              <w:t>目标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before="40" w:after="40" w:line="274" w:lineRule="auto"/>
            </w:pPr>
            <w:r>
              <w:rPr>
                <w:b/>
                <w:color w:val="000000"/>
                <w:sz w:val="18"/>
              </w:rPr>
              <w:t>验收成果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基础链路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两端 STM32 工程版本、编译记录、IMU 与无线日志、双轴手控演示。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显示交互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同款 ST7735 彩屏接入方案与三页界面；旋钮、按键操作及异常提示测试。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操作品质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静止稳定性、重复性、响应一致性与独立输出测量的基线及对照报告。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结构验证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选用底座和双轴模型完成试装，记录尺寸、干涉、刚度、载荷与紧固情况。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项目归档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物料台账、实测记录、仿真源文件、任务验收表和结题报告。</w:t>
            </w:r>
          </w:p>
        </w:tc>
      </w:tr>
    </w:tbl>
    <w:p>
      <w:pPr>
        <w:spacing w:after="20"/>
      </w:pPr>
    </w:p>
    <w:p>
      <w:pPr>
        <w:pStyle w:val="Heading1"/>
      </w:pPr>
      <w:r>
        <w:t>二 资料基础与当前阶段</w:t>
      </w:r>
    </w:p>
    <w:p>
      <w:r>
        <w:t>资料包括原项目 Excel 物料清单、STM32 发射端和接收端工程、Gerber、STL/3MF，以及 monitor.ino 和电路图。原 Excel 是作者自购物料清单，不能据此确认用户库存；全部原物料需先盘点。</w:t>
      </w:r>
    </w:p>
    <w:p>
      <w:r>
        <w:t>现阶段完成静态代码与资料审查、显示方案和任务拆解；尚无新方案移植编译、通信联调或实物精度验证结果。正式性能阈值在基线测试后冻结。</w:t>
      </w:r>
    </w:p>
    <w:p>
      <w:pPr>
        <w:pStyle w:val="SmallNote"/>
      </w:pPr>
      <w:r>
        <w:t>项目负责人、参与成员、实际库存、立项经费和启动日期：由项目组在提交审批前填写。计划周期为实物到位后 8 周。</w:t>
      </w:r>
    </w:p>
    <w:p>
      <w:pPr>
        <w:pStyle w:val="Heading1"/>
        <w:pageBreakBefore/>
      </w:pPr>
      <w:r>
        <w:t>三 系统结构与显示接入</w:t>
      </w:r>
    </w:p>
    <w:p>
      <w:r>
        <w:t>手柄 STM32 读取 MPU6050 姿态，经 nRF24L01 发送到接收端 STM32，由两路 MG996R 驱动双轴结构。彩屏接在手柄侧，显示本地姿态、发送指令和链路诊断。原舵机内置控制并不意味着 STM32 已取得实际角度反馈。</w:t>
      </w:r>
    </w:p>
    <w:p>
      <w:r>
        <w:t>显示首选复用 monitor 的 ST7735 SPI 彩屏及板载旋钮、按键，由 STM32 驱动。原 monitor 使用 ESP32-C3 Super Mini；其联网校时、环境监测与游戏功能不纳入移植。已组装的 ESP32 面板可作为独立只读显示备选，需额外定义并验证数据接口。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200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before="40" w:after="40" w:line="274" w:lineRule="auto"/>
            </w:pPr>
            <w:r>
              <w:rPr>
                <w:b/>
                <w:color w:val="000000"/>
                <w:sz w:val="18"/>
              </w:rPr>
              <w:t>接口与资源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before="40" w:after="40" w:line="274" w:lineRule="auto"/>
            </w:pPr>
            <w:r>
              <w:rPr>
                <w:b/>
                <w:color w:val="000000"/>
                <w:sz w:val="18"/>
              </w:rPr>
              <w:t>已确认事实或实施约束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显示型号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程序使用 Adafruit_ST7735、INITR_BLACKTAB、旋转参数 1，配置为横屏 160×128；尺寸、模组编号和额定电压需实物核对。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原无线接口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软件 SPI 使用 PA0～PA4，接线前保留并核查原板走线。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原 IMU 与 OLED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MPU6050 使用 PB10/PB11；OLED 使用 PB8/PB9。彩屏为主界面，旧 OLED 按装配空间决定是否保留。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原按键与 PWM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按键 PB12；舵机相关 TIM3 使用 PA6/PA7，发射端也有初始化。先完成两端独立资源表再分配新引脚。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新增屏幕与旋钮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需 SPI 时钟与数据、CS/DC/RST，旋钮 A/B 和按键输入；ESP32 编号不能照搬到 STM32。最终针脚表为单模块验收出口。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存储约束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F103C8 SRAM 为 20 KB；RGB565 整帧需 40960 字节，采用局部刷新和小块缓冲，检查链接 map 与栈余量。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供电与刷新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核对屏幕逻辑电平、背光和模块稳压；不得用 GPIO 承担背光或舵机电流。分开安排采样、无线与绘图任务，测量各自耗时。</w:t>
            </w:r>
          </w:p>
        </w:tc>
      </w:tr>
    </w:tbl>
    <w:p>
      <w:pPr>
        <w:spacing w:after="20"/>
      </w:pPr>
    </w:p>
    <w:p>
      <w:r>
        <w:t>通信可行性结论：现有资料支持继续进行接口设计与单模块试验；尚不能视为已经验证互通。原无线发送成功或 ACK 只反映链路状态，接收端状态回传需另行实现，实际输出角度需独立测量。</w:t>
      </w:r>
    </w:p>
    <w:p>
      <w:pPr>
        <w:pStyle w:val="Heading1"/>
        <w:pageBreakBefore/>
      </w:pPr>
      <w:r>
        <w:t>四 显示页面与操作功能</w:t>
      </w:r>
    </w:p>
    <w:p>
      <w:r>
        <w:t>旋钮用于页面选择与菜单操作，按压确认，独立按键返回。首版采用简短英文标签与数字；中文界面按需制作字模并核查 Flash。</w:t>
      </w:r>
    </w:p>
    <w:p>
      <w:r>
        <w:drawing>
          <wp:inline xmlns:a="http://schemas.openxmlformats.org/drawingml/2006/main" xmlns:pic="http://schemas.openxmlformats.org/drawingml/2006/picture">
            <wp:extent cx="5688000" cy="19760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手柄彩屏界面草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76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t>图 1 三页显示草案。全部数值为演示数据，不代表实物性能；实际反馈未接入时明确显示缺失。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7370"/>
      </w:tblGrid>
      <w:tr>
        <w:trPr>
          <w:tblHeader/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before="40" w:after="40" w:line="274" w:lineRule="auto"/>
            </w:pPr>
            <w:r>
              <w:rPr>
                <w:b/>
                <w:color w:val="000000"/>
                <w:sz w:val="18"/>
              </w:rPr>
              <w:t>页面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before="40" w:after="40" w:line="274" w:lineRule="auto"/>
            </w:pPr>
            <w:r>
              <w:rPr>
                <w:b/>
                <w:color w:val="000000"/>
                <w:sz w:val="18"/>
              </w:rPr>
              <w:t>内容与交互要求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操作页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模式、手柄姿态 POSE、发送指令 CMD、IMU 有效状态、无线统计；实际反馈另列，不以指令替代。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诊断页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有效/错误样本、数据年龄、统计窗口、无线计数、界面耗时；过期和失败显著提示。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设置页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显示亮度、方向提示、校准记录、参数版本、恢复默认；修改有确认与范围检查。电量页须新增测量硬件后再做。</w:t>
            </w:r>
          </w:p>
        </w:tc>
      </w:tr>
    </w:tbl>
    <w:p>
      <w:pPr>
        <w:spacing w:after="20"/>
      </w:pPr>
    </w:p>
    <w:p>
      <w:pPr>
        <w:pStyle w:val="Heading1"/>
      </w:pPr>
      <w:r>
        <w:t>五 操作品质改进顺序</w:t>
      </w:r>
    </w:p>
    <w:p>
      <w:r>
        <w:t>第一步完善数据可信度：姿态读取失败、初始化失败与无线错误不能显示为正常实时数据。现有程序中读取返回值未用于有效性判断，DMP 初始化错误传播不完整，接收失败分支仍可能使用数据，需要逐项审查并留存异常试验记录。</w:t>
      </w:r>
    </w:p>
    <w:p>
      <w:r>
        <w:t>第二步建立重复操作基准：规定手柄安装方向、握持位置、静置流程和夹具定位。分开记录姿态、发送前数值、整数量化值及独立测量值；保留小数显示本身不能证明精度提升。</w:t>
      </w:r>
    </w:p>
    <w:p>
      <w:r>
        <w:t>第三步优化可用性：检查屏幕视角、拇指可达范围、按键误触、线缆牵引和重量。多按键使用独立消抖状态，验证旋钮快速操作、长按和连续输入不会互相抑制。</w:t>
      </w:r>
    </w:p>
    <w:p>
      <w:r>
        <w:t>第四步比较修改前后：检查紧固、舵机间隙、载荷重心和电源，再评估显示与交互修改对稳定性、延迟和疲劳的影响。任何改善结论都应附独立参考与完整原始数据。</w:t>
      </w:r>
    </w:p>
    <w:p>
      <w:pPr>
        <w:pStyle w:val="Heading1"/>
        <w:pageBreakBefore/>
      </w:pPr>
      <w:r>
        <w:t>六 验证方法与验收记录</w:t>
      </w:r>
    </w:p>
    <w:p>
      <w:r>
        <w:t>以下是建议试验设计，尚未执行。性能阈值在第 3 周根据实测、使用需求和测量工具能力确定，不以示例数字承诺角度精度。每轮记录固件版本、供电、载荷、安装姿态和环境条件。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458"/>
        <w:gridCol w:w="4082"/>
      </w:tblGrid>
      <w:tr>
        <w:trPr>
          <w:tblHeader/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before="40" w:after="40" w:line="274" w:lineRule="auto"/>
            </w:pPr>
            <w:r>
              <w:rPr>
                <w:b/>
                <w:color w:val="000000"/>
                <w:sz w:val="18"/>
              </w:rPr>
              <w:t>评价项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before="40" w:after="40" w:line="274" w:lineRule="auto"/>
            </w:pPr>
            <w:r>
              <w:rPr>
                <w:b/>
                <w:color w:val="000000"/>
                <w:sz w:val="18"/>
              </w:rPr>
              <w:t>建议试验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before="40" w:after="40" w:line="274" w:lineRule="auto"/>
            </w:pPr>
            <w:r>
              <w:rPr>
                <w:b/>
                <w:color w:val="000000"/>
                <w:sz w:val="18"/>
              </w:rPr>
              <w:t>记录及验收原则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静止稳定性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夹具固定，建议记录 3 轮各 60 秒；另做 10 分钟漂移观察。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统计有效率、波动与随时间变化；原始数据、错误和过期样本均保留。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操作重复性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固定参考位置，建议每个位置重复 10 次；跨上电重复。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独立夹具或量角参考；分别报告重复性与参考误差，记录测量不确定性。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显示负载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同一工况分别开启/关闭界面刷新，记录任务时间。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比较采样间隔与丢失事件；阈值冻结后判定，不用平均值掩盖极端延迟。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响应一致性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同步记录输入、发包、接收与显示事件。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先解决时间基准；无法同步时只报告可测局部延迟，不直接相减两端时钟。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机械输出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中性载荷台架配独立角度测量，记录指令和实际位置。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区分输入误差、量化、间隙与输出误差；没有反馈时不得报告闭环到位率。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异常状态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传感器失败、无线断链/恢复、数据过期、连续按键。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预先定义期望行为；错误不得伪装成有效实时读数，记录恢复过程。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装配与电源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屏幕安装、线缆活动、载荷变化及供电变化。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记录干涉、松动、电压与复位；问题解决后再做性能对比。</w:t>
            </w:r>
          </w:p>
        </w:tc>
      </w:tr>
    </w:tbl>
    <w:p>
      <w:pPr>
        <w:spacing w:after="20"/>
      </w:pPr>
    </w:p>
    <w:p>
      <w:pPr>
        <w:pStyle w:val="Heading1"/>
      </w:pPr>
      <w:r>
        <w:t>七 研发任务与验收责任</w:t>
      </w:r>
    </w:p>
    <w:p>
      <w:r>
        <w:t>DeepSeek 承担可离线复核的模型审查、载荷/供电预算、日志仿真、界面原型和统计工作；项目组提供实物尺寸、测量数据与最终判断。缺失输入必须列出，合成数据必须标记，不得把仿真写成实测。</w:t>
      </w:r>
    </w:p>
    <w:p>
      <w:r>
        <w:t>首批可直接发出的任务为合成数据界面原型、日志格式检查及异常测试表；结构分析在选择具体模型并补齐尺寸后开始。交付包提供任务说明、日志模板、参数表和验收模板。</w:t>
      </w:r>
    </w:p>
    <w:p>
      <w:pPr>
        <w:pStyle w:val="SmallNote"/>
      </w:pPr>
      <w:r>
        <w:t>不直接转发原 monitor.ino 的联网配置。提交外部 agent 前只提供完成任务需要的代码片段和资料。</w:t>
      </w:r>
    </w:p>
    <w:p>
      <w:pPr>
        <w:pStyle w:val="Heading1"/>
        <w:pageBreakBefore/>
      </w:pPr>
      <w:r>
        <w:t>八 基础物料准备与盘点</w:t>
      </w:r>
    </w:p>
    <w:p>
      <w:r>
        <w:t>下表依据原 Excel 和本期范围整理。“原 BOM”表示作者清单中存在，库存仍待确认。采购前按精确规格、接口和电气参数核对；数量不代表已购入。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134"/>
        <w:gridCol w:w="5159"/>
      </w:tblGrid>
      <w:tr>
        <w:trPr>
          <w:tblHeader/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before="40" w:after="40" w:line="274" w:lineRule="auto"/>
            </w:pPr>
            <w:r>
              <w:rPr>
                <w:b/>
                <w:color w:val="000000"/>
                <w:sz w:val="18"/>
              </w:rPr>
              <w:t>物料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before="40" w:after="40" w:line="274" w:lineRule="auto"/>
            </w:pPr>
            <w:r>
              <w:rPr>
                <w:b/>
                <w:color w:val="000000"/>
                <w:sz w:val="18"/>
              </w:rPr>
              <w:t>数量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before="40" w:after="40" w:line="274" w:lineRule="auto"/>
            </w:pPr>
            <w:r>
              <w:rPr>
                <w:b/>
                <w:color w:val="000000"/>
                <w:sz w:val="18"/>
              </w:rPr>
              <w:t>准备要求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STM32F103C8T6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原 BOM；核对板型、晶振、稳压、下载接口及实际芯片标记。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nRF24L01 模块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原 BOM；核对普通/带功放版本、供电、引脚及板间距离。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MPU6050 模块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原 BOM；核对板型、电平、供电和手柄固定方向。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MG996R 舵机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原 BOM；核对来源、工作电压、舵盘、连接与实际电流。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7.4 V 与 3.7 V 电池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各 1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原 BOM；先核对化学体系、串数、保护和接口，再决定复用。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迷你 5 V DC-DC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原 BOM；核实输入范围与持续/瞬态供电能力，不能只看标称电流。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12×12 按键与 SS12D07G3 开关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各 2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原 BOM；确认安装尺寸、接点和额定值。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排针及连接线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1 批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原 BOM 无明确数量；按最终针脚表计数，区分信号线与电源线。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底座及双轴打印件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1 套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按 STL 装配关系清点；材料和填充率结合载荷试装确定。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紧固件与舵盘连接件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1 套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尺寸从模型与实物取值，记录螺钉长度及防松方式。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中性载荷安装件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1 套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适配双轴结构；记录质量、重心与独立测量基准。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电源保护及分配件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1 套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按实际电流确定保险、开关、接线端子与应力释放。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适配充电器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按电池体系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与电池串数、化学体系、保护方式匹配；原清单未明确。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下载与测量工具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复用或借用</w:t>
            </w:r>
          </w:p>
        </w:tc>
        <w:tc>
          <w:tcPr>
            <w:tcW w:type="dxa" w:w="51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ST-Link、3.3 V 逻辑串口工具、万用表；按测试需要借用逻辑分析仪和可调电源。</w:t>
            </w:r>
          </w:p>
        </w:tc>
      </w:tr>
    </w:tbl>
    <w:p>
      <w:pPr>
        <w:spacing w:after="20"/>
      </w:pPr>
    </w:p>
    <w:p>
      <w:pPr>
        <w:pStyle w:val="SmallNote"/>
      </w:pPr>
      <w:r>
        <w:t>发射器、发射控制继电器与相关结构不计入本期准备及预算。材料用量和紧固件长度须待模型审查后冻结。</w:t>
      </w:r>
    </w:p>
    <w:p>
      <w:pPr>
        <w:pStyle w:val="Heading1"/>
        <w:pageBreakBefore/>
      </w:pPr>
      <w:r>
        <w:t>九 显示升级追加物料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077"/>
        <w:gridCol w:w="5613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before="40" w:after="40" w:line="274" w:lineRule="auto"/>
            </w:pPr>
            <w:r>
              <w:rPr>
                <w:b/>
                <w:color w:val="000000"/>
                <w:sz w:val="18"/>
              </w:rPr>
              <w:t>物料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before="40" w:after="40" w:line="274" w:lineRule="auto"/>
            </w:pPr>
            <w:r>
              <w:rPr>
                <w:b/>
                <w:color w:val="000000"/>
                <w:sz w:val="18"/>
              </w:rPr>
              <w:t>数量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before="40" w:after="40" w:line="274" w:lineRule="auto"/>
            </w:pPr>
            <w:r>
              <w:rPr>
                <w:b/>
                <w:color w:val="000000"/>
                <w:sz w:val="18"/>
              </w:rPr>
              <w:t>采购核对与淘宝检索词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ST7735 旋钮彩屏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优先复用同款；核对 128×160、SPI、编码器 A/B、按键、电平与孔距。检索：ST7735 彩屏 旋转编码器 模块。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屏幕支架和手柄上盖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1 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按屏幕实测外形与孔位修改；检索：3D 打印 手柄 外壳 定制。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可靠插接件与柔性导线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1 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按电流、间距、线径与接口选型；检索：带锁扣 连接器 线束。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独立返回键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0～1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同款模块若已提供则复用；检索：轻触 按键 模块。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角度夹具或独立测角工具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1 套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分辨率不是准确度，需核实校准与量程；检索：数显角度尺 固定夹具。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电池电压采样元件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条件项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确认电池最大电压和 ADC 允许范围后设计；显示百分比还需电池模型。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背光驱动或电平转换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条件项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只有核实模块电路后才能确定是否需要，不能统一默认添加。</w:t>
            </w:r>
          </w:p>
        </w:tc>
      </w:tr>
    </w:tbl>
    <w:p>
      <w:pPr>
        <w:spacing w:after="20"/>
      </w:pPr>
    </w:p>
    <w:p>
      <w:r>
        <w:t>检索词仅帮助定位商品，未核实具体店铺、在售 SKU、库存或成交价。购买前取得模组正反面照片、针脚定义、额定参数和尺寸图；商品标题与实物资料不符时暂停下单。</w:t>
      </w:r>
    </w:p>
    <w:p>
      <w:pPr>
        <w:pStyle w:val="Heading1"/>
      </w:pPr>
      <w:r>
        <w:t>十 经费与采购安排</w:t>
      </w:r>
    </w:p>
    <w:p>
      <w:r>
        <w:t>预算按“项目所需量 − 已验证可用库存”计算缺口，再使用选定 SKU 的报价填写。预算包含模块、打印耗材、结构件、线材、电源配套、必要工具、运费及打印试装费用。可借用工具不重复采购。</w:t>
      </w:r>
    </w:p>
    <w:p>
      <w:r>
        <w:t>优先顺序为盘点原物料、复用显示实物、单模块验证、少量打印试装、补齐线束与安装件。最终屏幕型号、GPIO、电源容量和结构孔位通过核对前，不批量购买。</w:t>
      </w:r>
    </w:p>
    <w:p>
      <w:pPr>
        <w:pStyle w:val="SmallNote"/>
      </w:pPr>
      <w:r>
        <w:t>交付包中的准备清单 CSV 提供数量、来源、库存状态、核对要求与检索词，可直接导入 Excel 补充报价。此版不以未经核实的价格构造总预算。</w:t>
      </w:r>
    </w:p>
    <w:p>
      <w:pPr>
        <w:pStyle w:val="Heading1"/>
        <w:pageBreakBefore/>
      </w:pPr>
      <w:r>
        <w:t>十一 实施进度与任务包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969"/>
        <w:gridCol w:w="3742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before="40" w:after="40" w:line="274" w:lineRule="auto"/>
            </w:pPr>
            <w:r>
              <w:rPr>
                <w:b/>
                <w:color w:val="000000"/>
                <w:sz w:val="18"/>
              </w:rPr>
              <w:t>时间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before="40" w:after="40" w:line="274" w:lineRule="auto"/>
            </w:pPr>
            <w:r>
              <w:rPr>
                <w:b/>
                <w:color w:val="000000"/>
                <w:sz w:val="18"/>
              </w:rPr>
              <w:t>主要工作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before="40" w:after="40" w:line="274" w:lineRule="auto"/>
            </w:pPr>
            <w:r>
              <w:rPr>
                <w:b/>
                <w:color w:val="000000"/>
                <w:sz w:val="18"/>
              </w:rPr>
              <w:t>阶段交付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第 1 周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物料盘点、资料冻结、模型筛选、屏幕实物核对。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版本表、缺件表、尺寸表与供电疑点。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第 2～3 周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各模块验证、引脚和资源审查、显示点亮、手柄基线测量。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接线表、日志、资源余量、正式验收阈值。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第 4～5 周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打印试装、三页界面整合、菜单与异常状态验证。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装配记录、原型源码、无发射机构台架演示。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第 6～7 周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显示负载与重复性对照、机械测量、问题修复复测。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原始数据、统计报告和缺陷闭环记录。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第 8 周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任务验收、BOM/源码整理、结题。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40" w:after="40" w:line="274" w:lineRule="auto"/>
            </w:pPr>
            <w:r>
              <w:rPr>
                <w:b w:val="0"/>
                <w:color w:val="000000"/>
                <w:sz w:val="18"/>
              </w:rPr>
              <w:t>演示视频、仿真源文件、最终立项/结题附件。</w:t>
            </w:r>
          </w:p>
        </w:tc>
      </w:tr>
    </w:tbl>
    <w:p>
      <w:pPr>
        <w:spacing w:after="20"/>
      </w:pPr>
    </w:p>
    <w:p>
      <w:r>
        <w:t>任务包包含四项原有仿真任务与四项显示评估补充任务。每项须提交输入清单、假设、源文件、运行方法、输出图表及未验证项。项目组负责实物试验，不把 agent 自述“通过”作为硬件验收。</w:t>
      </w:r>
    </w:p>
    <w:p>
      <w:pPr>
        <w:pStyle w:val="Heading1"/>
      </w:pPr>
      <w:r>
        <w:t>十二 关键风险及处理</w:t>
      </w:r>
    </w:p>
    <w:p>
      <w:r>
        <w:t>结构与原装置依赖：先检查模型装配关系，补画中性载荷支架。电源及舵机不确定：测量实际电流与供电变化后冻结电源方案。IMU 方向漂移：记录短时与长时基线，明确参考条件。显示挤占资源：采用局部绘制并测量任务耗时。无线状态含义不清：区分本地发送、接收端状态与真实角度反馈。</w:t>
      </w:r>
    </w:p>
    <w:p>
      <w:pPr>
        <w:pStyle w:val="Heading1"/>
      </w:pPr>
      <w:r>
        <w:t>资料来源</w:t>
      </w:r>
    </w:p>
    <w:p>
      <w:pPr>
        <w:pStyle w:val="SmallNote"/>
      </w:pPr>
      <w:r>
        <w:t>本地资料：体感云台开源资料/开源模型/物料清单.xlsx；发射端与接收端 User/main.c；MPU6050DMP/inv_mpu.c；Hardware 中的 OLED、NRF24L01 和舵机文件；原 STL/3MF；Desktop/monitor/monitor.ino 与电路图.jpg。详细定位见配套升级方案。</w:t>
      </w:r>
    </w:p>
    <w:p>
      <w:pPr>
        <w:pStyle w:val="SmallNote"/>
      </w:pPr>
      <w:r>
        <w:t>STMicroelectronics STM32F103x8/xB 数据手册：</w:t>
        <w:br/>
        <w:t>https://www.st.com/resource/en/datasheet/stm32f103c8.pdf</w:t>
      </w:r>
    </w:p>
    <w:p>
      <w:pPr>
        <w:pStyle w:val="SmallNote"/>
      </w:pPr>
      <w:r>
        <w:t>Adafruit ST7735 驱动源码：</w:t>
        <w:br/>
        <w:t>https://github.com/adafruit/Adafruit-ST7735-Library/blob/master/Adafruit_ST7735.cpp</w:t>
      </w:r>
    </w:p>
    <w:sectPr w:rsidR="00FC693F" w:rsidRPr="0006063C" w:rsidSect="00034616">
      <w:pgSz w:w="11906" w:h="16838"/>
      <w:pgMar w:top="1304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302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2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302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line="259" w:lineRule="auto"/>
    </w:pPr>
    <w:rPr>
      <w:rFonts w:ascii="Noto Sans CJK SC" w:hAnsi="Noto Sans CJK SC" w:eastAsia="Noto Sans CJK SC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STM32手控云台立项书 显示与操作品质升级版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