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电商订单履约与优惠结算需求 PRD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版本：V2.2　业务域：交易履约　文档性质：脱敏合成评测样本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6"/>
        </w:rPr>
        <w:t>1. 需求范围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本期覆盖普通实物商品下单、库存预占、优惠券核销、支付结果处理和订单取消，不覆盖预售、虚拟商品、跨境订单和多张优惠券叠加。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6"/>
        </w:rPr>
        <w:t>2. 优惠与金额规则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5100"/>
        <w:gridCol w:w="2660"/>
      </w:tblGrid>
      <w:tr>
        <w:tc>
          <w:tcPr>
            <w:tcW w:type="dxa" w:w="1600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规则项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规则说明</w:t>
            </w:r>
          </w:p>
        </w:tc>
        <w:tc>
          <w:tcPr>
            <w:tcW w:type="dxa" w:w="2660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失败提示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满减券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商品金额满200元减30元，运费不计入门槛</w:t>
            </w:r>
          </w:p>
        </w:tc>
        <w:tc>
          <w:tcPr>
            <w:tcW w:type="dxa" w:w="26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未达到使用门槛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使用数量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每笔订单最多使用一张优惠券</w:t>
            </w:r>
          </w:p>
        </w:tc>
        <w:tc>
          <w:tcPr>
            <w:tcW w:type="dxa" w:w="26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每单限用一张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有效期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提交订单时校验有效期，支付前再次校验</w:t>
            </w:r>
          </w:p>
        </w:tc>
        <w:tc>
          <w:tcPr>
            <w:tcW w:type="dxa" w:w="26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优惠券已失效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金额精度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人民币金额保留两位小数</w:t>
            </w:r>
          </w:p>
        </w:tc>
        <w:tc>
          <w:tcPr>
            <w:tcW w:type="dxa" w:w="26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-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6"/>
        </w:rPr>
        <w:t>3. 库存与幂等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提交订单时按SKU校验可售库存。全部SKU充足才创建订单并预占库存；任一SKU不足则整单失败且不得核销优惠券。相同request_id重复或并发提交只能创建一张有效订单，库存和优惠券均只处理一次。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6"/>
        </w:rPr>
        <w:t>4. 支付与取消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支付成功回调需记录支付平台流水号。重复回调不得重复记账。待支付订单可由用户取消，取消成功后释放库存并触发优惠券退回；优惠券退回后的可用状态取决于其是否已经过期。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6"/>
        </w:rPr>
        <w:t>5. 结算页交互原型</w:t>
      </w:r>
    </w:p>
    <w:p>
      <w:r>
        <w:drawing>
          <wp:inline xmlns:a="http://schemas.openxmlformats.org/drawingml/2006/main" xmlns:pic="http://schemas.openxmlformats.org/drawingml/2006/picture">
            <wp:extent cx="5669280" cy="31954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out_coupon_u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5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　优惠券选中后的结算页示意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6"/>
        </w:rPr>
        <w:t>6. 待确认事项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1）支付过程中优惠券过期时是继续支付还是阻断；2）取消后已过期优惠券的最终状态；3）库存预占有效期和超时释放时机。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