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Decentralized MRP II Project — Update for Kavita Ma'am</w:t>
      </w:r>
    </w:p>
    <w:p>
      <w:pPr>
        <w:spacing w:after="180"/>
      </w:pPr>
      <w:r>
        <w:t xml:space="preserve">Covers the first project presentation (22 July 2026): what was shown, the feedback received, and where the project stands now.</w:t>
      </w:r>
    </w:p>
    <w:p>
      <w:pPr>
        <w:pStyle w:val="Heading1"/>
        <w:spacing w:after="120" w:before="280"/>
      </w:pPr>
      <w:r>
        <w:t xml:space="preserve">1. What is MRP II?</w:t>
      </w:r>
    </w:p>
    <w:p>
      <w:pPr>
        <w:spacing w:after="180"/>
      </w:pPr>
      <w:r>
        <w:rPr>
          <w:b/>
          <w:bCs/>
        </w:rPr>
        <w:t xml:space="preserve">MRP (Material Requirements Planning)</w:t>
      </w:r>
      <w:r>
        <w:t xml:space="preserve"> answers three questions: which components are needed, how many are needed, and when are they needed.</w:t>
      </w:r>
    </w:p>
    <w:p>
      <w:pPr>
        <w:spacing w:after="180"/>
      </w:pPr>
      <w:r>
        <w:rPr>
          <w:b/>
          <w:bCs/>
        </w:rPr>
        <w:t xml:space="preserve">MRP II (Manufacturing Resource Planning II)</w:t>
      </w:r>
      <w:r>
        <w:t xml:space="preserve"> goes further. On top of material planning, it also covers machine and labour capacity, supplier constraints, production scheduling, cost, and feedback from what actually happens on the shop floor (delays, breakdowns, completed work).</w:t>
      </w:r>
    </w:p>
    <w:p>
      <w:pPr>
        <w:spacing w:after="180"/>
      </w:pPr>
      <w:r>
        <w:t xml:space="preserve">This project builds an "MRP II-lite" prototype: a simulated furniture factory where independent software agents negotiate for materials, supplier deliveries, and machine time to build a production plan, then adjust that plan when something goes wrong (a machine breaks down, a supplier is late).</w:t>
      </w:r>
    </w:p>
    <w:p>
      <w:pPr>
        <w:spacing w:after="180"/>
      </w:pPr>
      <w:r>
        <w:t xml:space="preserve">The core idea in one sentence: instead of one master scheduler deciding everything, each production order asks independent resource agents (inventory, suppliers, machines) for offers, picks the best valid combination, and renegotiates only the affected part of the plan when a commitment fails.</w:t>
      </w:r>
    </w:p>
    <w:p>
      <w:pPr>
        <w:pStyle w:val="Heading1"/>
        <w:spacing w:after="120" w:before="280"/>
      </w:pPr>
      <w:r>
        <w:t xml:space="preserve">2. What was presented on 22 July 2026</w:t>
      </w:r>
    </w:p>
    <w:p>
      <w:pPr>
        <w:spacing w:after="180"/>
      </w:pPr>
      <w:r>
        <w:t xml:space="preserve">The first presentation had two parts:</w:t>
      </w:r>
    </w:p>
    <w:p>
      <w:pPr>
        <w:pStyle w:val="ListParagraph"/>
        <w:numPr>
          <w:ilvl w:val="0"/>
          <w:numId w:val="1"/>
        </w:numPr>
        <w:spacing w:after="90"/>
      </w:pPr>
      <w:r>
        <w:rPr>
          <w:b/>
          <w:bCs/>
        </w:rPr>
        <w:t xml:space="preserve">MRP II fundamentals</w:t>
      </w:r>
      <w:r>
        <w:t xml:space="preserve"> — a plain-language walkthrough of what MRP II is and why it goes beyond basic MRP.</w:t>
      </w:r>
    </w:p>
    <w:p>
      <w:pPr>
        <w:pStyle w:val="ListParagraph"/>
        <w:numPr>
          <w:ilvl w:val="0"/>
          <w:numId w:val="1"/>
        </w:numPr>
        <w:spacing w:after="90"/>
      </w:pPr>
      <w:r>
        <w:rPr>
          <w:b/>
          <w:bCs/>
        </w:rPr>
        <w:t xml:space="preserve">Project architecture</w:t>
      </w:r>
      <w:r>
        <w:t xml:space="preserve"> — the planning and design work done so far (problem breakdown, agent responsibilities, negotiation protocol, technology choices).</w:t>
      </w:r>
    </w:p>
    <w:p>
      <w:pPr>
        <w:spacing w:after="180"/>
      </w:pPr>
      <w:r>
        <w:t xml:space="preserve">A worked example was used to demonstrate the negotiation idea: 5 production items, each requiring a different sequence of processing steps, moving through 5 production lines. Each line represented an agent, and the demo showed work being handed off from one line's agent to the next as an item moved through production.</w:t>
      </w:r>
    </w:p>
    <w:p>
      <w:pPr>
        <w:spacing w:after="180"/>
      </w:pPr>
      <w:r>
        <w:t xml:space="preserve">The control structure shown for coordinating those 5 lines used a central hub.</w:t>
      </w:r>
    </w:p>
    <w:p>
      <w:pPr>
        <w:pStyle w:val="Heading1"/>
        <w:spacing w:after="120" w:before="280"/>
      </w:pPr>
      <w:r>
        <w:t xml:space="preserve">3. Feedback received</w:t>
      </w:r>
    </w:p>
    <w:p>
      <w:pPr>
        <w:spacing w:after="180"/>
      </w:pPr>
      <w:r>
        <w:t xml:space="preserve">Sir's core requirement for the project is that the system be </w:t>
      </w:r>
      <w:r>
        <w:rPr>
          <w:b/>
          <w:bCs/>
        </w:rPr>
        <w:t xml:space="preserve">decentralized</w:t>
      </w:r>
      <w:r>
        <w:t xml:space="preserve"> — no single component should be making all the planning decisions.</w:t>
      </w:r>
    </w:p>
    <w:p>
      <w:pPr>
        <w:spacing w:after="180"/>
      </w:pPr>
      <w:r>
        <w:t xml:space="preserve">The hub-style control structure shown in the demo was received neutrally: not rejected, but not approved either. This is an open item the project needs to resolve — the hub, as demonstrated, sits closer to a centralized design than a decentralized one.</w:t>
      </w:r>
    </w:p>
    <w:p>
      <w:pPr>
        <w:spacing w:after="180"/>
      </w:pPr>
      <w:r>
        <w:t xml:space="preserve">Sir also referenced a few existing, commercially used systems as points of comparison:</w:t>
      </w:r>
    </w:p>
    <w:p>
      <w:pPr>
        <w:pStyle w:val="ListParagraph"/>
        <w:numPr>
          <w:ilvl w:val="0"/>
          <w:numId w:val="1"/>
        </w:numPr>
        <w:spacing w:after="90"/>
      </w:pPr>
      <w:r>
        <w:rPr>
          <w:b/>
          <w:bCs/>
        </w:rPr>
        <w:t xml:space="preserve">Zoho (Zoho ERP / Zoho Inventory)</w:t>
      </w:r>
      <w:r>
        <w:t xml:space="preserve"> — a cloud-based ERP suite. Production planning, inventory, and scheduling all run through one unified, centralized platform.</w:t>
      </w:r>
    </w:p>
    <w:p>
      <w:pPr>
        <w:pStyle w:val="ListParagraph"/>
        <w:numPr>
          <w:ilvl w:val="0"/>
          <w:numId w:val="1"/>
        </w:numPr>
        <w:spacing w:after="90"/>
      </w:pPr>
      <w:r>
        <w:rPr>
          <w:b/>
          <w:bCs/>
        </w:rPr>
        <w:t xml:space="preserve">Sugar (SugarCRM)</w:t>
      </w:r>
      <w:r>
        <w:t xml:space="preserve"> — primarily a customer-relationship-management (CRM) tool for sales and customer data. It integrates with ERP systems but is not itself a manufacturing-planning or MRP II system.</w:t>
      </w:r>
    </w:p>
    <w:p>
      <w:pPr>
        <w:pStyle w:val="ListParagraph"/>
        <w:numPr>
          <w:ilvl w:val="0"/>
          <w:numId w:val="1"/>
        </w:numPr>
        <w:spacing w:after="90"/>
      </w:pPr>
      <w:r>
        <w:rPr>
          <w:b/>
          <w:bCs/>
        </w:rPr>
        <w:t xml:space="preserve">OpenERP</w:t>
      </w:r>
      <w:r>
        <w:t xml:space="preserve"> — an open-source ERP suite that was rebranded to </w:t>
      </w:r>
      <w:r>
        <w:rPr>
          <w:b/>
          <w:bCs/>
        </w:rPr>
        <w:t xml:space="preserve">Odoo</w:t>
      </w:r>
      <w:r>
        <w:t xml:space="preserve"> in 2014. Like Zoho, it is a modular but centralized platform: one system owns the planning data and logic.</w:t>
      </w:r>
    </w:p>
    <w:p>
      <w:pPr>
        <w:spacing w:after="180"/>
      </w:pPr>
      <w:r>
        <w:t xml:space="preserve">The common thread across all three: they are centralized platforms, where one system (or one tightly integrated suite) owns the planning decisions. That is the opposite of what this project is trying to demonstrate.</w:t>
      </w:r>
    </w:p>
    <w:p>
      <w:pPr>
        <w:pStyle w:val="Heading1"/>
        <w:spacing w:after="120" w:before="280"/>
      </w:pPr>
      <w:r>
        <w:t xml:space="preserve">4. Scope boundary raised by sir</w:t>
      </w:r>
    </w:p>
    <w:p>
      <w:pPr>
        <w:spacing w:after="180"/>
      </w:pPr>
      <w:r>
        <w:t xml:space="preserve">Sir also flagged a boundary on what the negotiating agents should attempt to cover. Finance was given as an example: it is a domain where negotiation happens with external parties (banks, investors, regulatory requirements) rather than between internal resources, so it cannot be modelled as an internal negotiating agent the way inventory, suppliers, or machine time can.</w:t>
      </w:r>
    </w:p>
    <w:p>
      <w:pPr>
        <w:spacing w:after="180"/>
      </w:pPr>
      <w:r>
        <w:t xml:space="preserve">This matches a boundary the project had already set on its own: the project's scope documents already exclude general ledger, invoicing, and payroll from the first version. Sir's comment confirms that boundary is correct, rather than introducing a new one.</w:t>
      </w:r>
    </w:p>
    <w:p>
      <w:pPr>
        <w:pStyle w:val="Heading1"/>
        <w:spacing w:after="120" w:before="280"/>
      </w:pPr>
      <w:r>
        <w:t xml:space="preserve">5. Data and models</w:t>
      </w:r>
    </w:p>
    <w:p>
      <w:pPr>
        <w:spacing w:after="180"/>
      </w:pPr>
      <w:r>
        <w:t xml:space="preserve">A dataset question was also discussed. The suggested approach: look for a suitable dataset on Kaggle first; if nothing suitable is found, synthesize the data instead.</w:t>
      </w:r>
    </w:p>
    <w:p>
      <w:pPr>
        <w:spacing w:after="180"/>
      </w:pPr>
      <w:r>
        <w:t xml:space="preserve">The plan communicated to sir was: models will be trained on this data (Kaggle-sourced or synthetic), and those trained models will be used by the AI agents. A live simulation of the factory scenario was also discussed as part of the demonstration.</w:t>
      </w:r>
    </w:p>
    <w:p>
      <w:pPr>
        <w:spacing w:after="180"/>
      </w:pPr>
      <w:r>
        <w:rPr>
          <w:b/>
          <w:bCs/>
        </w:rPr>
        <w:t xml:space="preserve">Open item to resolve:</w:t>
      </w:r>
      <w:r>
        <w:t xml:space="preserve"> the project's existing engineering rules commit to deterministic, plain code for BOM explosion, inventory, capacity, and proposal scoring, with the language model restricted to explaining decisions and parsing draft input — never deciding a manufacturing outcome. Whether the trained models feed into agent decisions as predictive inputs (for example, a demand forecast or a supplier reliability estimate) or are meant to influence the negotiation outcome itself changes whether this fits inside that existing rule or requires updating it. This should be clarified before implementation.</w:t>
      </w:r>
    </w:p>
    <w:p>
      <w:pPr>
        <w:pStyle w:val="Heading1"/>
        <w:spacing w:after="120" w:before="280"/>
      </w:pPr>
      <w:r>
        <w:t xml:space="preserve">6. How the project's planned design differs from the Day 1 hub demo</w:t>
      </w:r>
    </w:p>
    <w:p>
      <w:pPr>
        <w:spacing w:after="180"/>
      </w:pPr>
      <w:r>
        <w:t xml:space="preserve">The project's design documents (written before the 22 July presentation) already define decentralization in a specific way, separate from the simplified hub shown in the demo:</w:t>
      </w:r>
    </w:p>
    <w:p>
      <w:pPr>
        <w:pStyle w:val="ListParagraph"/>
        <w:numPr>
          <w:ilvl w:val="0"/>
          <w:numId w:val="1"/>
        </w:numPr>
        <w:spacing w:after="90"/>
      </w:pPr>
      <w:r>
        <w:t xml:space="preserve">Each agent (an order, an inventory store, a supplier, a work centre) owns its own state and makes its own decisions. No agent can directly edit another agent's data.</w:t>
      </w:r>
    </w:p>
    <w:p>
      <w:pPr>
        <w:pStyle w:val="ListParagraph"/>
        <w:numPr>
          <w:ilvl w:val="0"/>
          <w:numId w:val="1"/>
        </w:numPr>
        <w:spacing w:after="90"/>
      </w:pPr>
      <w:r>
        <w:t xml:space="preserve">Agents coordinate only by exchanging negotiation messages, using a simplified version of a standard protocol called Contract Net: one agent calls for proposals, other agents reply with offers or refusals, the best valid offer is accepted, and the rest are rejected.</w:t>
      </w:r>
    </w:p>
    <w:p>
      <w:pPr>
        <w:pStyle w:val="ListParagraph"/>
        <w:numPr>
          <w:ilvl w:val="0"/>
          <w:numId w:val="1"/>
        </w:numPr>
        <w:spacing w:after="90"/>
      </w:pPr>
      <w:r>
        <w:t xml:space="preserve">Under this design, the finished plan is the result of many independent agents' offers and one order's scoring of those offers — not a single hub deciding the outcome.</w:t>
      </w:r>
    </w:p>
    <w:p>
      <w:pPr>
        <w:spacing w:after="180"/>
      </w:pPr>
      <w:r>
        <w:t xml:space="preserve">The 5-line hub demo shown on Day 1 was a simplified stand-in to illustrate the handoff idea, not the project's actual planned architecture. The next step is to demonstrate the full negotiation-based design (agents exchanging offers directly) so the distinction from a centralized hub is clear.</w:t>
      </w:r>
    </w:p>
    <w:p>
      <w:pPr>
        <w:pStyle w:val="Heading1"/>
        <w:spacing w:after="120" w:before="280"/>
      </w:pPr>
      <w:r>
        <w:t xml:space="preserve">7. Technology decision</w:t>
      </w:r>
    </w:p>
    <w:p>
      <w:pPr>
        <w:spacing w:after="180"/>
      </w:pPr>
      <w:r>
        <w:t xml:space="preserve">The project originally considered Python-based agent/simulation frameworks (Mesa, SPADE, PADE). That direction has changed, for the following reasons:</w:t>
      </w:r>
    </w:p>
    <w:p>
      <w:pPr>
        <w:pStyle w:val="ListParagraph"/>
        <w:numPr>
          <w:ilvl w:val="0"/>
          <w:numId w:val="1"/>
        </w:numPr>
        <w:spacing w:after="90"/>
      </w:pPr>
      <w:r>
        <w:rPr>
          <w:b/>
          <w:bCs/>
        </w:rPr>
        <w:t xml:space="preserve">Mesa</w:t>
      </w:r>
      <w:r>
        <w:t xml:space="preserve"> is primarily an agent-based *simulation* framework — it is built for modelling and observing agent behaviour in-process, not for the distributed, message-passing negotiation this project needs between independently running agents.</w:t>
      </w:r>
    </w:p>
    <w:p>
      <w:pPr>
        <w:pStyle w:val="ListParagraph"/>
        <w:numPr>
          <w:ilvl w:val="0"/>
          <w:numId w:val="1"/>
        </w:numPr>
        <w:spacing w:after="90"/>
      </w:pPr>
      <w:r>
        <w:rPr>
          <w:b/>
          <w:bCs/>
        </w:rPr>
        <w:t xml:space="preserve">SPADE</w:t>
      </w:r>
      <w:r>
        <w:t xml:space="preserve"> would have required a second programming language (Python) running alongside the TypeScript dashboard and the rest of the system, which adds integration work and a risk of the two languages interpreting shared message formats differently over time. Its optional language-model extension (SPADE-LLM) was also still in beta at the time it was evaluated.</w:t>
      </w:r>
    </w:p>
    <w:p>
      <w:pPr>
        <w:pStyle w:val="ListParagraph"/>
        <w:numPr>
          <w:ilvl w:val="0"/>
          <w:numId w:val="1"/>
        </w:numPr>
        <w:spacing w:after="90"/>
      </w:pPr>
      <w:r>
        <w:rPr>
          <w:b/>
          <w:bCs/>
        </w:rPr>
        <w:t xml:space="preserve">PADE</w:t>
      </w:r>
      <w:r>
        <w:t xml:space="preserve"> has the same second-language drawback as SPADE, and its publicly available documentation was written for an older version than the current codebase.</w:t>
      </w:r>
    </w:p>
    <w:p>
      <w:pPr>
        <w:spacing w:after="180"/>
      </w:pPr>
      <w:r>
        <w:t xml:space="preserve">The current plan avoids all three by staying in one language end to end:</w:t>
      </w:r>
    </w:p>
    <w:p>
      <w:pPr>
        <w:pStyle w:val="ListParagraph"/>
        <w:numPr>
          <w:ilvl w:val="0"/>
          <w:numId w:val="1"/>
        </w:numPr>
        <w:spacing w:after="90"/>
      </w:pPr>
      <w:r>
        <w:rPr>
          <w:b/>
          <w:bCs/>
        </w:rPr>
        <w:t xml:space="preserve">Google Gemini</w:t>
      </w:r>
      <w:r>
        <w:t xml:space="preserve"> as the language model, used only to explain decisions in plain language and to help parse draft input — never to perform the actual planning calculations.</w:t>
      </w:r>
    </w:p>
    <w:p>
      <w:pPr>
        <w:pStyle w:val="ListParagraph"/>
        <w:numPr>
          <w:ilvl w:val="0"/>
          <w:numId w:val="1"/>
        </w:numPr>
        <w:spacing w:after="90"/>
      </w:pPr>
      <w:r>
        <w:rPr>
          <w:b/>
          <w:bCs/>
        </w:rPr>
        <w:t xml:space="preserve">Vercel's AI SDK</w:t>
      </w:r>
      <w:r>
        <w:t xml:space="preserve">, a TypeScript toolkit, for the parts of the system that call the language model.</w:t>
      </w:r>
    </w:p>
    <w:p>
      <w:pPr>
        <w:pStyle w:val="ListParagraph"/>
        <w:numPr>
          <w:ilvl w:val="0"/>
          <w:numId w:val="1"/>
        </w:numPr>
        <w:spacing w:after="90"/>
      </w:pPr>
      <w:r>
        <w:rPr>
          <w:b/>
          <w:bCs/>
        </w:rPr>
        <w:t xml:space="preserve">The Agent2Agent (A2A) protocol</w:t>
      </w:r>
      <w:r>
        <w:t xml:space="preserve"> for agent-to-agent communication, replacing the earlier plan to use SPADE and XMPP. Unlike SPADE, A2A is a vendor-neutral, actively maintained open standard (governed by the Linux Foundation) rather than a single research project's framework.</w:t>
      </w:r>
    </w:p>
    <w:p>
      <w:pPr>
        <w:spacing w:after="180"/>
      </w:pPr>
      <w:r>
        <w:t xml:space="preserve">All core planning decisions — material requirements, inventory checks, machine capacity, and scoring of competing offers — remain plain, deterministic code. The language model is never used to make or change a manufacturing decision.</w:t>
      </w:r>
    </w:p>
    <w:p>
      <w:pPr>
        <w:pStyle w:val="Heading1"/>
        <w:spacing w:after="120" w:before="280"/>
      </w:pPr>
      <w:r>
        <w:t xml:space="preserve">8. Next step</w:t>
      </w:r>
    </w:p>
    <w:p>
      <w:pPr>
        <w:spacing w:after="180"/>
      </w:pPr>
      <w:r>
        <w:t xml:space="preserve">Before building the full multi-agent negotiation system, the plan is to demonstrate a small working agent (built using Vercel's "Eve" agent framework) with a chat interface and callable tools, as a concrete example of the technology stack in action.</w:t>
      </w:r>
    </w:p>
    <w:p>
      <w:pPr>
        <w:pStyle w:val="Heading1"/>
        <w:spacing w:after="120" w:before="280"/>
      </w:pPr>
      <w:r>
        <w:t xml:space="preserve">Open items</w:t>
      </w:r>
    </w:p>
    <w:p>
      <w:pPr>
        <w:pStyle w:val="ListParagraph"/>
        <w:numPr>
          <w:ilvl w:val="0"/>
          <w:numId w:val="1"/>
        </w:numPr>
        <w:spacing w:after="90"/>
      </w:pPr>
      <w:r>
        <w:t xml:space="preserve">Address the hub-vs-decentralized feedback directly in the next presentation, using the project's own negotiation-based design rather than a hub.</w:t>
      </w:r>
    </w:p>
    <w:p>
      <w:pPr>
        <w:pStyle w:val="ListParagraph"/>
        <w:numPr>
          <w:ilvl w:val="0"/>
          <w:numId w:val="1"/>
        </w:numPr>
        <w:spacing w:after="90"/>
      </w:pPr>
      <w:r>
        <w:t xml:space="preserve">Review Zoho, Sugar, and OpenERP/Odoo further if sir expects the project to be positioned against them specifically.</w:t>
      </w:r>
    </w:p>
    <w:p>
      <w:pPr>
        <w:pStyle w:val="ListParagraph"/>
        <w:numPr>
          <w:ilvl w:val="0"/>
          <w:numId w:val="1"/>
        </w:numPr>
        <w:spacing w:after="90"/>
      </w:pPr>
      <w:r>
        <w:t xml:space="preserve">Clarify whether trained models feeding the AI agents are predictive inputs or are meant to influence the negotiation outcome itself, and reconcile that with the project's deterministic-decision rule.</w:t>
      </w:r>
    </w:p>
    <w:p>
      <w:pPr>
        <w:pStyle w:val="ListParagraph"/>
        <w:numPr>
          <w:ilvl w:val="0"/>
          <w:numId w:val="1"/>
        </w:numPr>
        <w:spacing w:after="90"/>
      </w:pPr>
      <w:r>
        <w:t xml:space="preserve">Confirm the Kaggle-first, synthesize-if-needed dataset approach against the actual scenario data required (furniture factory materials, suppliers, work-centre calendars).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2026-08-04T16:29:54.778Z</dcterms:created>
  <dcterms:modified xsi:type="dcterms:W3CDTF">2026-08-04T16:29:54.779Z</dcterms:modified>
</cp:coreProperties>
</file>

<file path=docProps/custom.xml><?xml version="1.0" encoding="utf-8"?>
<Properties xmlns="http://schemas.openxmlformats.org/officeDocument/2006/custom-properties" xmlns:vt="http://schemas.openxmlformats.org/officeDocument/2006/docPropsVTypes"/>
</file>