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Decentralized MRP II System — Design Diagrams</w:t>
      </w:r>
    </w:p>
    <w:p>
      <w:pPr>
        <w:spacing w:after="300"/>
      </w:pPr>
      <w:r>
        <w:t xml:space="preserve">DFD, Use Case, and Activity diagrams derived from the system architecture.</w:t>
      </w:r>
    </w:p>
    <w:p>
      <w:pPr>
        <w:pStyle w:val="Heading1"/>
      </w:pPr>
      <w:r>
        <w:t xml:space="preserve">4.1  Data Flow Diagram — Level 0</w:t>
      </w:r>
    </w:p>
    <w:p>
      <w:pPr>
        <w:jc w:val="center"/>
      </w:pPr>
      <w:r>
        <w:drawing>
          <wp:inline distT="0" distB="0" distL="0" distR="0">
            <wp:extent cx="59436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i/>
          <w:iCs/>
          <w:sz w:val="20"/>
          <w:szCs w:val="20"/>
        </w:rPr>
        <w:t xml:space="preserve">Figure 4.1: DFD Level 0 (Context Diagram) of the Decentralized MRP II System</w:t>
      </w:r>
    </w:p>
    <w:p>
      <w:r>
        <w:br w:type="page"/>
      </w:r>
    </w:p>
    <w:p>
      <w:pPr>
        <w:pStyle w:val="Heading1"/>
      </w:pPr>
      <w:r>
        <w:t xml:space="preserve">4.2  Data Flow Diagram — Level 1</w:t>
      </w:r>
    </w:p>
    <w:p>
      <w:pPr>
        <w:jc w:val="center"/>
      </w:pPr>
      <w:r>
        <w:drawing>
          <wp:inline distT="0" distB="0" distL="0" distR="0">
            <wp:extent cx="5943600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i/>
          <w:iCs/>
          <w:sz w:val="20"/>
          <w:szCs w:val="20"/>
        </w:rPr>
        <w:t xml:space="preserve">Figure 4.2: DFD Level 1 showing the system's major processes and data stores</w:t>
      </w:r>
    </w:p>
    <w:p>
      <w:r>
        <w:br w:type="page"/>
      </w:r>
    </w:p>
    <w:p>
      <w:pPr>
        <w:pStyle w:val="Heading1"/>
      </w:pPr>
      <w:r>
        <w:t xml:space="preserve">4.3  Use Case Diagram</w:t>
      </w:r>
    </w:p>
    <w:p>
      <w:pPr>
        <w:jc w:val="center"/>
      </w:pPr>
      <w:r>
        <w:drawing>
          <wp:inline distT="0" distB="0" distL="0" distR="0">
            <wp:extent cx="59436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i/>
          <w:iCs/>
          <w:sz w:val="20"/>
          <w:szCs w:val="20"/>
        </w:rPr>
        <w:t xml:space="preserve">Figure 4.3: Use Case Diagram of the Decentralized MRP II System</w:t>
      </w:r>
    </w:p>
    <w:p>
      <w:r>
        <w:br w:type="page"/>
      </w:r>
    </w:p>
    <w:p>
      <w:pPr>
        <w:pStyle w:val="Heading1"/>
      </w:pPr>
      <w:r>
        <w:t xml:space="preserve">4.4  Activity Diagram</w:t>
      </w:r>
    </w:p>
    <w:p>
      <w:pPr>
        <w:jc w:val="center"/>
      </w:pPr>
      <w:r>
        <w:drawing>
          <wp:inline distT="0" distB="0" distL="0" distR="0">
            <wp:extent cx="5943600" cy="672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i/>
          <w:iCs/>
          <w:sz w:val="20"/>
          <w:szCs w:val="20"/>
        </w:rPr>
        <w:t xml:space="preserve">Figure 4.4: Activity Diagram of the order negotiation and planning flow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91705aa69761da1ee27ddc0a362fbae7680cbcc.png"/><Relationship Id="rId8" Type="http://schemas.openxmlformats.org/officeDocument/2006/relationships/image" Target="media/2a4ad59980bd70034c2a247bdf43861c43a72aa3.png"/><Relationship Id="rId9" Type="http://schemas.openxmlformats.org/officeDocument/2006/relationships/image" Target="media/0054a14b4ff36689c52e9106769d2b44c2b530ac.png"/><Relationship Id="rId10" Type="http://schemas.openxmlformats.org/officeDocument/2006/relationships/image" Target="media/b28eebcc13945bf98198c1f1c1385c89f2c892e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2026-09-23T08:44:34.033Z</dcterms:created>
  <dcterms:modified xsi:type="dcterms:W3CDTF">2026-09-23T08:44:34.034Z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